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14:paraId="39FBB6C9" w14:textId="77777777" w:rsidTr="009E22B0">
        <w:tc>
          <w:tcPr>
            <w:tcW w:w="8510" w:type="dxa"/>
          </w:tcPr>
          <w:p w14:paraId="3323CE26" w14:textId="7EACA2B0" w:rsidR="007B23FC" w:rsidRPr="007A6872" w:rsidRDefault="002774F4" w:rsidP="00A53B04">
            <w:pPr>
              <w:pStyle w:val="Infotext"/>
              <w:rPr>
                <w:rFonts w:ascii="Arial Black" w:hAnsi="Arial Black"/>
                <w:sz w:val="36"/>
                <w:szCs w:val="36"/>
              </w:rPr>
            </w:pPr>
            <w:r w:rsidRPr="007A6872">
              <w:rPr>
                <w:rFonts w:ascii="Arial Black" w:hAnsi="Arial Black"/>
                <w:noProof/>
                <w:sz w:val="36"/>
                <w:szCs w:val="36"/>
                <w:lang w:eastAsia="en-GB"/>
              </w:rPr>
              <w:drawing>
                <wp:anchor distT="0" distB="0" distL="114300" distR="114300" simplePos="0" relativeHeight="251657728" behindDoc="0" locked="1" layoutInCell="1" allowOverlap="1" wp14:anchorId="026A509D" wp14:editId="6361F542">
                  <wp:simplePos x="0" y="0"/>
                  <wp:positionH relativeFrom="column">
                    <wp:posOffset>-15240</wp:posOffset>
                  </wp:positionH>
                  <wp:positionV relativeFrom="page">
                    <wp:posOffset>419100</wp:posOffset>
                  </wp:positionV>
                  <wp:extent cx="5406390" cy="869315"/>
                  <wp:effectExtent l="0" t="0" r="3810" b="6985"/>
                  <wp:wrapNone/>
                  <wp:docPr id="9"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13">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7B23FC" w:rsidRPr="007A6872">
              <w:rPr>
                <w:rFonts w:ascii="Arial Black" w:hAnsi="Arial Black"/>
                <w:sz w:val="36"/>
                <w:szCs w:val="36"/>
              </w:rPr>
              <w:t xml:space="preserve">    </w:t>
            </w:r>
          </w:p>
          <w:p w14:paraId="7FA85C3F" w14:textId="77777777" w:rsidR="003728EE" w:rsidRDefault="003728EE" w:rsidP="00A53B04">
            <w:pPr>
              <w:pStyle w:val="Infotext"/>
              <w:rPr>
                <w:rFonts w:ascii="Arial Black" w:hAnsi="Arial Black"/>
                <w:color w:val="999999"/>
                <w:sz w:val="36"/>
                <w:szCs w:val="36"/>
              </w:rPr>
            </w:pPr>
          </w:p>
          <w:p w14:paraId="78E7D1EC" w14:textId="77777777" w:rsidR="007B23FC" w:rsidRDefault="007B23FC" w:rsidP="00A53B04">
            <w:pPr>
              <w:pStyle w:val="Infotext"/>
              <w:rPr>
                <w:rFonts w:ascii="Arial Black" w:hAnsi="Arial Black"/>
                <w:color w:val="999999"/>
                <w:sz w:val="36"/>
                <w:szCs w:val="36"/>
              </w:rPr>
            </w:pPr>
          </w:p>
          <w:p w14:paraId="706D404B" w14:textId="77777777" w:rsidR="007B23FC" w:rsidRDefault="007B23FC" w:rsidP="00A53B04">
            <w:pPr>
              <w:pStyle w:val="Infotext"/>
              <w:rPr>
                <w:rFonts w:ascii="Arial Black" w:hAnsi="Arial Black"/>
                <w:color w:val="999999"/>
                <w:sz w:val="36"/>
                <w:szCs w:val="36"/>
              </w:rPr>
            </w:pPr>
          </w:p>
          <w:p w14:paraId="2A487D4D" w14:textId="77777777" w:rsidR="007B23FC" w:rsidRPr="007B23FC" w:rsidRDefault="007B23FC" w:rsidP="00A53B04">
            <w:pPr>
              <w:rPr>
                <w:rFonts w:ascii="Arial Black" w:hAnsi="Arial Black" w:cs="Arial"/>
                <w:szCs w:val="36"/>
              </w:rPr>
            </w:pPr>
          </w:p>
        </w:tc>
      </w:tr>
      <w:tr w:rsidR="003728EE" w14:paraId="7D105054" w14:textId="77777777" w:rsidTr="00421A4C">
        <w:tc>
          <w:tcPr>
            <w:tcW w:w="8510" w:type="dxa"/>
            <w:tcBorders>
              <w:bottom w:val="single" w:sz="18" w:space="0" w:color="auto"/>
            </w:tcBorders>
          </w:tcPr>
          <w:p w14:paraId="089FFF43" w14:textId="77777777" w:rsidR="003728EE" w:rsidRDefault="003728EE" w:rsidP="00A53B04">
            <w:pPr>
              <w:pStyle w:val="Infotext"/>
              <w:rPr>
                <w:rFonts w:ascii="Arial Black" w:hAnsi="Arial Black"/>
                <w:noProof/>
                <w:color w:val="999999"/>
                <w:sz w:val="36"/>
                <w:szCs w:val="36"/>
                <w:lang w:eastAsia="en-GB"/>
              </w:rPr>
            </w:pPr>
          </w:p>
        </w:tc>
      </w:tr>
    </w:tbl>
    <w:p w14:paraId="75E6A00C" w14:textId="77777777" w:rsidR="004076C8" w:rsidRPr="0036201C" w:rsidRDefault="004076C8"/>
    <w:tbl>
      <w:tblPr>
        <w:tblW w:w="8510" w:type="dxa"/>
        <w:tblLayout w:type="fixed"/>
        <w:tblLook w:val="0000" w:firstRow="0" w:lastRow="0" w:firstColumn="0" w:lastColumn="0" w:noHBand="0" w:noVBand="0"/>
      </w:tblPr>
      <w:tblGrid>
        <w:gridCol w:w="3510"/>
        <w:gridCol w:w="4829"/>
        <w:gridCol w:w="171"/>
      </w:tblGrid>
      <w:tr w:rsidR="00333FAA" w14:paraId="47227AE1" w14:textId="77777777" w:rsidTr="00BE36D5">
        <w:tc>
          <w:tcPr>
            <w:tcW w:w="3510" w:type="dxa"/>
            <w:tcBorders>
              <w:bottom w:val="single" w:sz="18" w:space="0" w:color="auto"/>
            </w:tcBorders>
          </w:tcPr>
          <w:p w14:paraId="2B96DE07"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55D07B26" w14:textId="77777777" w:rsidR="00333FAA" w:rsidRPr="00B805DB" w:rsidRDefault="00333FAA" w:rsidP="00A53B04">
            <w:pPr>
              <w:pStyle w:val="Infotext"/>
              <w:rPr>
                <w:rFonts w:ascii="Arial Black" w:hAnsi="Arial Black" w:cs="Arial"/>
                <w:sz w:val="36"/>
                <w:szCs w:val="36"/>
              </w:rPr>
            </w:pPr>
          </w:p>
        </w:tc>
        <w:tc>
          <w:tcPr>
            <w:tcW w:w="5000" w:type="dxa"/>
            <w:gridSpan w:val="2"/>
            <w:tcBorders>
              <w:bottom w:val="single" w:sz="18" w:space="0" w:color="auto"/>
            </w:tcBorders>
          </w:tcPr>
          <w:p w14:paraId="3A113B05"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4211FCF8" w14:textId="77777777" w:rsidR="00333FAA" w:rsidRPr="005E3A10" w:rsidRDefault="00333FAA" w:rsidP="00A53B04">
            <w:pPr>
              <w:rPr>
                <w:rFonts w:ascii="Arial Black" w:hAnsi="Arial Black" w:cs="Arial"/>
                <w:szCs w:val="24"/>
              </w:rPr>
            </w:pPr>
          </w:p>
        </w:tc>
      </w:tr>
      <w:tr w:rsidR="00333FAA" w14:paraId="2541488F" w14:textId="77777777" w:rsidTr="00BE36D5">
        <w:tc>
          <w:tcPr>
            <w:tcW w:w="3510" w:type="dxa"/>
            <w:tcBorders>
              <w:top w:val="single" w:sz="18" w:space="0" w:color="auto"/>
            </w:tcBorders>
          </w:tcPr>
          <w:p w14:paraId="10D0D9D7"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3741C740" w14:textId="77777777" w:rsidR="00333FAA" w:rsidRPr="00C13A5F" w:rsidRDefault="00333FAA" w:rsidP="00A53B04">
            <w:pPr>
              <w:pStyle w:val="Infotext"/>
              <w:rPr>
                <w:rFonts w:ascii="Arial Black" w:hAnsi="Arial Black" w:cs="Arial"/>
              </w:rPr>
            </w:pPr>
          </w:p>
        </w:tc>
        <w:tc>
          <w:tcPr>
            <w:tcW w:w="5000" w:type="dxa"/>
            <w:gridSpan w:val="2"/>
            <w:tcBorders>
              <w:top w:val="single" w:sz="18" w:space="0" w:color="auto"/>
            </w:tcBorders>
          </w:tcPr>
          <w:p w14:paraId="7185BA4A" w14:textId="3B8663AB" w:rsidR="00333FAA" w:rsidRDefault="006A633C" w:rsidP="00DD3A49">
            <w:pPr>
              <w:rPr>
                <w:rFonts w:cs="Arial"/>
              </w:rPr>
            </w:pPr>
            <w:r>
              <w:rPr>
                <w:rFonts w:cs="Arial"/>
              </w:rPr>
              <w:t>7</w:t>
            </w:r>
            <w:r w:rsidR="00FF509C" w:rsidRPr="006B1DE1">
              <w:rPr>
                <w:rFonts w:cs="Arial"/>
              </w:rPr>
              <w:t xml:space="preserve"> </w:t>
            </w:r>
            <w:r w:rsidR="004A637C">
              <w:rPr>
                <w:rFonts w:cs="Arial"/>
              </w:rPr>
              <w:t>December</w:t>
            </w:r>
            <w:r w:rsidR="00C61CE7">
              <w:rPr>
                <w:rFonts w:cs="Arial"/>
              </w:rPr>
              <w:t xml:space="preserve"> 2017</w:t>
            </w:r>
          </w:p>
          <w:p w14:paraId="32489322" w14:textId="77777777" w:rsidR="00DD3A49" w:rsidRPr="005E3A10" w:rsidRDefault="00DD3A49" w:rsidP="00DD3A49">
            <w:pPr>
              <w:rPr>
                <w:rFonts w:cs="Arial"/>
                <w:szCs w:val="24"/>
              </w:rPr>
            </w:pPr>
          </w:p>
        </w:tc>
      </w:tr>
      <w:tr w:rsidR="00333FAA" w14:paraId="6CB612C8" w14:textId="77777777" w:rsidTr="00BE36D5">
        <w:tc>
          <w:tcPr>
            <w:tcW w:w="3510" w:type="dxa"/>
          </w:tcPr>
          <w:p w14:paraId="54895B2F"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347BED9F" w14:textId="77777777" w:rsidR="00333FAA" w:rsidRPr="00C13A5F" w:rsidRDefault="00333FAA" w:rsidP="00A53B04">
            <w:pPr>
              <w:pStyle w:val="Infotext"/>
              <w:rPr>
                <w:rFonts w:ascii="Arial Black" w:hAnsi="Arial Black"/>
              </w:rPr>
            </w:pPr>
          </w:p>
        </w:tc>
        <w:tc>
          <w:tcPr>
            <w:tcW w:w="5000" w:type="dxa"/>
            <w:gridSpan w:val="2"/>
          </w:tcPr>
          <w:p w14:paraId="4C453BF6" w14:textId="6940770F" w:rsidR="00333FAA" w:rsidRPr="003B20DC" w:rsidRDefault="003B20DC" w:rsidP="0011741A">
            <w:pPr>
              <w:rPr>
                <w:rFonts w:cs="Arial"/>
                <w:b/>
              </w:rPr>
            </w:pPr>
            <w:r w:rsidRPr="003B20DC">
              <w:rPr>
                <w:rFonts w:cs="Arial"/>
                <w:b/>
              </w:rPr>
              <w:t xml:space="preserve">Revenue and Capital Monitoring 2017/18 – Quarter </w:t>
            </w:r>
            <w:r w:rsidR="006A633C">
              <w:rPr>
                <w:rFonts w:cs="Arial"/>
                <w:b/>
              </w:rPr>
              <w:t>2 as at 30</w:t>
            </w:r>
            <w:r w:rsidR="006A633C" w:rsidRPr="00CB1B58">
              <w:rPr>
                <w:rFonts w:cs="Arial"/>
                <w:b/>
                <w:vertAlign w:val="superscript"/>
              </w:rPr>
              <w:t>th</w:t>
            </w:r>
            <w:r w:rsidR="006A633C">
              <w:rPr>
                <w:rFonts w:cs="Arial"/>
                <w:b/>
              </w:rPr>
              <w:t xml:space="preserve"> September</w:t>
            </w:r>
            <w:r w:rsidR="00FE0C58">
              <w:rPr>
                <w:rFonts w:cs="Arial"/>
                <w:b/>
              </w:rPr>
              <w:t xml:space="preserve"> </w:t>
            </w:r>
            <w:r w:rsidRPr="003B20DC">
              <w:rPr>
                <w:rFonts w:cs="Arial"/>
                <w:b/>
              </w:rPr>
              <w:t>2017</w:t>
            </w:r>
            <w:r w:rsidR="0011741A" w:rsidRPr="003B20DC">
              <w:rPr>
                <w:rFonts w:cs="Arial"/>
                <w:b/>
              </w:rPr>
              <w:t>.</w:t>
            </w:r>
          </w:p>
          <w:p w14:paraId="1157B48C" w14:textId="66404FE0" w:rsidR="0011741A" w:rsidRPr="005E3A10" w:rsidRDefault="0011741A" w:rsidP="0011741A">
            <w:pPr>
              <w:rPr>
                <w:rFonts w:cs="Arial"/>
                <w:szCs w:val="24"/>
              </w:rPr>
            </w:pPr>
          </w:p>
        </w:tc>
      </w:tr>
      <w:tr w:rsidR="00333FAA" w14:paraId="4FDEED1F" w14:textId="77777777" w:rsidTr="00BE36D5">
        <w:tc>
          <w:tcPr>
            <w:tcW w:w="3510" w:type="dxa"/>
          </w:tcPr>
          <w:p w14:paraId="1FFB7E24"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0E22EBBF" w14:textId="77777777" w:rsidR="00333FAA" w:rsidRPr="00C13A5F" w:rsidRDefault="00333FAA" w:rsidP="00A53B04">
            <w:pPr>
              <w:pStyle w:val="Infotext"/>
              <w:rPr>
                <w:rFonts w:ascii="Arial Black" w:hAnsi="Arial Black" w:cs="Arial"/>
              </w:rPr>
            </w:pPr>
          </w:p>
        </w:tc>
        <w:tc>
          <w:tcPr>
            <w:tcW w:w="5000" w:type="dxa"/>
            <w:gridSpan w:val="2"/>
          </w:tcPr>
          <w:p w14:paraId="3CA042DF" w14:textId="1BC0079E" w:rsidR="00BF7A26" w:rsidRPr="00BF7A26" w:rsidRDefault="008E3EF8" w:rsidP="00BF7A26">
            <w:pPr>
              <w:pStyle w:val="Infotext"/>
              <w:rPr>
                <w:rFonts w:cs="Arial"/>
                <w:bCs/>
                <w:szCs w:val="24"/>
              </w:rPr>
            </w:pPr>
            <w:r>
              <w:rPr>
                <w:rFonts w:cs="Arial"/>
                <w:sz w:val="24"/>
                <w:szCs w:val="24"/>
              </w:rPr>
              <w:t>Yes</w:t>
            </w:r>
          </w:p>
          <w:p w14:paraId="6CBAA87E" w14:textId="193FB8C6" w:rsidR="00333FAA" w:rsidRPr="005E3A10" w:rsidRDefault="00333FAA" w:rsidP="002C672F">
            <w:pPr>
              <w:pStyle w:val="Infotext"/>
              <w:rPr>
                <w:rFonts w:cs="Arial"/>
                <w:szCs w:val="24"/>
              </w:rPr>
            </w:pPr>
          </w:p>
        </w:tc>
      </w:tr>
      <w:tr w:rsidR="001C7E35" w14:paraId="4B648F80" w14:textId="77777777" w:rsidTr="00BE36D5">
        <w:tc>
          <w:tcPr>
            <w:tcW w:w="3510" w:type="dxa"/>
          </w:tcPr>
          <w:p w14:paraId="363BA823"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29AE1371" w14:textId="77777777" w:rsidR="001C7E35" w:rsidRPr="00C13A5F" w:rsidRDefault="001C7E35" w:rsidP="00A53B04">
            <w:pPr>
              <w:pStyle w:val="Infotext"/>
              <w:rPr>
                <w:rFonts w:ascii="Arial Black" w:hAnsi="Arial Black" w:cs="Arial"/>
              </w:rPr>
            </w:pPr>
          </w:p>
        </w:tc>
        <w:tc>
          <w:tcPr>
            <w:tcW w:w="5000" w:type="dxa"/>
            <w:gridSpan w:val="2"/>
          </w:tcPr>
          <w:p w14:paraId="162CAFE5" w14:textId="77777777" w:rsidR="001C7E35" w:rsidRPr="00FF509C" w:rsidRDefault="00FF509C" w:rsidP="00D835CF">
            <w:pPr>
              <w:pStyle w:val="Infotext"/>
              <w:rPr>
                <w:rFonts w:cs="Arial"/>
                <w:sz w:val="24"/>
                <w:szCs w:val="24"/>
              </w:rPr>
            </w:pPr>
            <w:r w:rsidRPr="00FF509C">
              <w:rPr>
                <w:rFonts w:cs="Arial"/>
                <w:sz w:val="24"/>
                <w:szCs w:val="24"/>
              </w:rPr>
              <w:t xml:space="preserve">Dawn Calvert, Director of Finance </w:t>
            </w:r>
          </w:p>
        </w:tc>
      </w:tr>
      <w:tr w:rsidR="001C7E35" w14:paraId="26DE3B16" w14:textId="77777777" w:rsidTr="00BE36D5">
        <w:tc>
          <w:tcPr>
            <w:tcW w:w="3510" w:type="dxa"/>
          </w:tcPr>
          <w:p w14:paraId="6BE1FAE3"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5762CB0D" w14:textId="77777777" w:rsidR="001C7E35" w:rsidRPr="00C13A5F" w:rsidRDefault="001C7E35" w:rsidP="00A53B04">
            <w:pPr>
              <w:pStyle w:val="BodyText"/>
              <w:rPr>
                <w:rFonts w:ascii="Arial Black" w:hAnsi="Arial Black"/>
              </w:rPr>
            </w:pPr>
          </w:p>
        </w:tc>
        <w:tc>
          <w:tcPr>
            <w:tcW w:w="5000" w:type="dxa"/>
            <w:gridSpan w:val="2"/>
          </w:tcPr>
          <w:p w14:paraId="0414A3D8" w14:textId="77777777" w:rsidR="001C7E35" w:rsidRPr="005E3A10" w:rsidRDefault="00FF509C" w:rsidP="00E871FD">
            <w:pPr>
              <w:pStyle w:val="Infotext"/>
              <w:rPr>
                <w:rFonts w:cs="Arial"/>
                <w:color w:val="FF0000"/>
                <w:sz w:val="24"/>
                <w:szCs w:val="24"/>
              </w:rPr>
            </w:pPr>
            <w:r w:rsidRPr="00FF509C">
              <w:rPr>
                <w:rFonts w:cs="Arial"/>
                <w:sz w:val="24"/>
                <w:szCs w:val="24"/>
              </w:rPr>
              <w:t xml:space="preserve">Councillor </w:t>
            </w:r>
            <w:r w:rsidR="00D77527">
              <w:rPr>
                <w:rFonts w:cs="Arial"/>
                <w:sz w:val="24"/>
                <w:szCs w:val="24"/>
              </w:rPr>
              <w:t>Adam Swersk</w:t>
            </w:r>
            <w:r w:rsidR="00E871FD">
              <w:rPr>
                <w:rFonts w:cs="Arial"/>
                <w:sz w:val="24"/>
                <w:szCs w:val="24"/>
              </w:rPr>
              <w:t>y,</w:t>
            </w:r>
            <w:r w:rsidRPr="00FF509C">
              <w:rPr>
                <w:rFonts w:cs="Arial"/>
                <w:sz w:val="24"/>
                <w:szCs w:val="24"/>
              </w:rPr>
              <w:t xml:space="preserve"> Portfolio Holder for Finance and </w:t>
            </w:r>
            <w:r w:rsidR="00E871FD">
              <w:rPr>
                <w:rFonts w:cs="Arial"/>
                <w:sz w:val="24"/>
                <w:szCs w:val="24"/>
              </w:rPr>
              <w:t>Commercialisation</w:t>
            </w:r>
          </w:p>
        </w:tc>
      </w:tr>
      <w:tr w:rsidR="001C7E35" w14:paraId="482B9714" w14:textId="77777777" w:rsidTr="00BE36D5">
        <w:tc>
          <w:tcPr>
            <w:tcW w:w="3510" w:type="dxa"/>
          </w:tcPr>
          <w:p w14:paraId="368D7583" w14:textId="77777777" w:rsidR="001C7E35" w:rsidRPr="00DB6C3D" w:rsidRDefault="001C7E35" w:rsidP="00DB6C3D">
            <w:pPr>
              <w:pStyle w:val="Infotext"/>
              <w:rPr>
                <w:rFonts w:ascii="Arial Black" w:hAnsi="Arial Black"/>
              </w:rPr>
            </w:pPr>
            <w:r w:rsidRPr="00DB6C3D">
              <w:rPr>
                <w:rFonts w:ascii="Arial Black" w:hAnsi="Arial Black"/>
              </w:rPr>
              <w:t>Exempt:</w:t>
            </w:r>
          </w:p>
          <w:p w14:paraId="6BE1F71B" w14:textId="77777777" w:rsidR="001C7E35" w:rsidRPr="00C13A5F" w:rsidRDefault="001C7E35" w:rsidP="00A53B04">
            <w:pPr>
              <w:pStyle w:val="BodyText"/>
              <w:rPr>
                <w:rFonts w:ascii="Arial Black" w:hAnsi="Arial Black"/>
              </w:rPr>
            </w:pPr>
          </w:p>
        </w:tc>
        <w:tc>
          <w:tcPr>
            <w:tcW w:w="5000" w:type="dxa"/>
            <w:gridSpan w:val="2"/>
          </w:tcPr>
          <w:p w14:paraId="1263810A" w14:textId="4BFB4230" w:rsidR="00EF3E22" w:rsidRPr="00EF3E22" w:rsidRDefault="008E3EF8" w:rsidP="00F650D7">
            <w:pPr>
              <w:pStyle w:val="Infotext"/>
              <w:ind w:right="356"/>
              <w:jc w:val="both"/>
              <w:outlineLvl w:val="0"/>
              <w:rPr>
                <w:rFonts w:cs="Arial"/>
                <w:sz w:val="24"/>
                <w:szCs w:val="24"/>
              </w:rPr>
            </w:pPr>
            <w:r w:rsidRPr="008E3EF8">
              <w:rPr>
                <w:rFonts w:cs="Arial"/>
                <w:sz w:val="24"/>
                <w:szCs w:val="24"/>
              </w:rPr>
              <w:t>No,</w:t>
            </w:r>
            <w:r w:rsidRPr="008E3EF8">
              <w:rPr>
                <w:rFonts w:cs="Arial"/>
                <w:bCs/>
                <w:sz w:val="24"/>
                <w:szCs w:val="24"/>
              </w:rPr>
              <w:t xml:space="preserve"> except for Appendix </w:t>
            </w:r>
            <w:r w:rsidR="0030198F">
              <w:rPr>
                <w:rFonts w:cs="Arial"/>
                <w:bCs/>
                <w:sz w:val="24"/>
                <w:szCs w:val="24"/>
              </w:rPr>
              <w:t>6</w:t>
            </w:r>
            <w:r w:rsidRPr="008E3EF8">
              <w:rPr>
                <w:rFonts w:cs="Arial"/>
                <w:bCs/>
                <w:sz w:val="24"/>
                <w:szCs w:val="24"/>
              </w:rPr>
              <w:t>, which is exempt on the grounds that it contains “exempt information” under paragraph 3 of Part I of Schedule 12A to the Local Government Act 1972 (as amended) in that it contains information relating to the financial or business affairs of any particular person (including the authority holding that information</w:t>
            </w:r>
          </w:p>
          <w:p w14:paraId="56D1C2D0" w14:textId="4B39F745" w:rsidR="001C7E35" w:rsidRPr="005E3A10" w:rsidRDefault="001C7E35" w:rsidP="00A64789">
            <w:pPr>
              <w:pStyle w:val="Infotext"/>
              <w:rPr>
                <w:rFonts w:cs="Arial"/>
                <w:color w:val="FF0000"/>
                <w:sz w:val="24"/>
                <w:szCs w:val="24"/>
              </w:rPr>
            </w:pPr>
          </w:p>
        </w:tc>
      </w:tr>
      <w:tr w:rsidR="001C7E35" w14:paraId="41B65A1D" w14:textId="77777777" w:rsidTr="00BE36D5">
        <w:tc>
          <w:tcPr>
            <w:tcW w:w="3510" w:type="dxa"/>
          </w:tcPr>
          <w:p w14:paraId="4B4FBB39"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4CCE5532" w14:textId="77777777" w:rsidR="001C7E35" w:rsidRPr="00C13A5F" w:rsidRDefault="001C7E35" w:rsidP="00A53B04">
            <w:pPr>
              <w:pStyle w:val="BodyText"/>
              <w:rPr>
                <w:rFonts w:ascii="Arial Black" w:hAnsi="Arial Black"/>
              </w:rPr>
            </w:pPr>
          </w:p>
        </w:tc>
        <w:tc>
          <w:tcPr>
            <w:tcW w:w="5000" w:type="dxa"/>
            <w:gridSpan w:val="2"/>
          </w:tcPr>
          <w:p w14:paraId="22A730B0" w14:textId="77777777" w:rsidR="001C7E35" w:rsidRPr="005E3A10" w:rsidRDefault="001C7E35" w:rsidP="00D835CF">
            <w:pPr>
              <w:pStyle w:val="Infotext"/>
              <w:rPr>
                <w:rFonts w:cs="Arial"/>
                <w:sz w:val="24"/>
                <w:szCs w:val="24"/>
              </w:rPr>
            </w:pPr>
            <w:r w:rsidRPr="005E3A10">
              <w:rPr>
                <w:rFonts w:cs="Arial"/>
                <w:sz w:val="24"/>
                <w:szCs w:val="24"/>
              </w:rPr>
              <w:t xml:space="preserve">Yes </w:t>
            </w:r>
          </w:p>
          <w:p w14:paraId="03039B65" w14:textId="77777777" w:rsidR="001C7E35" w:rsidRPr="005E3A10" w:rsidRDefault="001C7E35" w:rsidP="00D835CF">
            <w:pPr>
              <w:rPr>
                <w:rFonts w:cs="Arial"/>
                <w:szCs w:val="24"/>
              </w:rPr>
            </w:pPr>
          </w:p>
          <w:p w14:paraId="3C6D21CC" w14:textId="77777777" w:rsidR="00714BEE" w:rsidRPr="005E3A10" w:rsidRDefault="00714BEE" w:rsidP="00D835CF">
            <w:pPr>
              <w:rPr>
                <w:rFonts w:cs="Arial"/>
                <w:szCs w:val="24"/>
              </w:rPr>
            </w:pPr>
          </w:p>
        </w:tc>
      </w:tr>
      <w:tr w:rsidR="001C7E35" w14:paraId="5E775D45" w14:textId="77777777" w:rsidTr="00BE36D5">
        <w:tc>
          <w:tcPr>
            <w:tcW w:w="3510" w:type="dxa"/>
          </w:tcPr>
          <w:p w14:paraId="0BABF490" w14:textId="77777777" w:rsidR="001C7E35" w:rsidRDefault="001C7E35" w:rsidP="00A53B04">
            <w:pPr>
              <w:pStyle w:val="Infotext"/>
              <w:rPr>
                <w:rFonts w:ascii="Arial Black" w:hAnsi="Arial Black" w:cs="Arial"/>
              </w:rPr>
            </w:pPr>
            <w:r>
              <w:rPr>
                <w:rFonts w:ascii="Arial Black" w:hAnsi="Arial Black" w:cs="Arial"/>
              </w:rPr>
              <w:t>Wards affected:</w:t>
            </w:r>
          </w:p>
          <w:p w14:paraId="5ED1EC9C" w14:textId="77777777" w:rsidR="001C7E35" w:rsidRPr="00C13A5F" w:rsidRDefault="001C7E35" w:rsidP="00A53B04">
            <w:pPr>
              <w:pStyle w:val="Infotext"/>
              <w:rPr>
                <w:rFonts w:ascii="Arial Black" w:hAnsi="Arial Black" w:cs="Arial"/>
              </w:rPr>
            </w:pPr>
          </w:p>
        </w:tc>
        <w:tc>
          <w:tcPr>
            <w:tcW w:w="5000" w:type="dxa"/>
            <w:gridSpan w:val="2"/>
          </w:tcPr>
          <w:p w14:paraId="366F14A2" w14:textId="77777777" w:rsidR="001C7E35" w:rsidRPr="005E3A10" w:rsidRDefault="00FF509C" w:rsidP="00D835CF">
            <w:pPr>
              <w:rPr>
                <w:rFonts w:cs="Arial"/>
                <w:szCs w:val="24"/>
              </w:rPr>
            </w:pPr>
            <w:r>
              <w:rPr>
                <w:rFonts w:cs="Arial"/>
                <w:szCs w:val="24"/>
              </w:rPr>
              <w:t>All</w:t>
            </w:r>
          </w:p>
        </w:tc>
      </w:tr>
      <w:tr w:rsidR="001C7E35" w14:paraId="2AD78899" w14:textId="77777777" w:rsidTr="00BE36D5">
        <w:tc>
          <w:tcPr>
            <w:tcW w:w="3510" w:type="dxa"/>
          </w:tcPr>
          <w:p w14:paraId="244218C7" w14:textId="5FBFEB6A" w:rsidR="001C7E35" w:rsidRPr="00C13A5F" w:rsidRDefault="001C7E35" w:rsidP="00A53B04">
            <w:pPr>
              <w:pStyle w:val="Infotext"/>
              <w:rPr>
                <w:rFonts w:ascii="Arial Black" w:hAnsi="Arial Black" w:cs="Arial"/>
              </w:rPr>
            </w:pPr>
            <w:r w:rsidRPr="00C13A5F">
              <w:rPr>
                <w:rFonts w:ascii="Arial Black" w:hAnsi="Arial Black" w:cs="Arial"/>
              </w:rPr>
              <w:t>Enclosures:</w:t>
            </w:r>
            <w:r w:rsidR="0032360F">
              <w:rPr>
                <w:rFonts w:ascii="Arial Black" w:hAnsi="Arial Black" w:cs="Arial"/>
              </w:rPr>
              <w:t xml:space="preserve">                    </w:t>
            </w:r>
          </w:p>
          <w:p w14:paraId="0AC97A6D" w14:textId="77777777" w:rsidR="001C7E35" w:rsidRDefault="001C7E35" w:rsidP="00A53B04">
            <w:pPr>
              <w:pStyle w:val="Infotext"/>
              <w:rPr>
                <w:rFonts w:ascii="Arial Black" w:hAnsi="Arial Black" w:cs="Arial"/>
              </w:rPr>
            </w:pPr>
          </w:p>
          <w:p w14:paraId="6E6A633D" w14:textId="77777777" w:rsidR="00A229D2" w:rsidRDefault="00A229D2" w:rsidP="00A53B04">
            <w:pPr>
              <w:pStyle w:val="Infotext"/>
              <w:rPr>
                <w:rFonts w:ascii="Arial Black" w:hAnsi="Arial Black" w:cs="Arial"/>
              </w:rPr>
            </w:pPr>
          </w:p>
          <w:p w14:paraId="026E0B7B" w14:textId="77777777" w:rsidR="00A229D2" w:rsidRDefault="00A229D2" w:rsidP="00A53B04">
            <w:pPr>
              <w:pStyle w:val="Infotext"/>
              <w:rPr>
                <w:rFonts w:ascii="Arial Black" w:hAnsi="Arial Black" w:cs="Arial"/>
              </w:rPr>
            </w:pPr>
          </w:p>
          <w:p w14:paraId="52BB2BF3" w14:textId="77777777" w:rsidR="00A229D2" w:rsidRDefault="00A229D2" w:rsidP="00A53B04">
            <w:pPr>
              <w:pStyle w:val="Infotext"/>
              <w:rPr>
                <w:rFonts w:ascii="Arial Black" w:hAnsi="Arial Black" w:cs="Arial"/>
              </w:rPr>
            </w:pPr>
          </w:p>
          <w:p w14:paraId="7191E0F1" w14:textId="77777777" w:rsidR="00A229D2" w:rsidRDefault="00A229D2" w:rsidP="00A53B04">
            <w:pPr>
              <w:pStyle w:val="Infotext"/>
              <w:rPr>
                <w:rFonts w:ascii="Arial Black" w:hAnsi="Arial Black" w:cs="Arial"/>
              </w:rPr>
            </w:pPr>
          </w:p>
          <w:p w14:paraId="046F8254" w14:textId="77777777" w:rsidR="00A229D2" w:rsidRDefault="00A229D2" w:rsidP="00A53B04">
            <w:pPr>
              <w:pStyle w:val="Infotext"/>
              <w:rPr>
                <w:rFonts w:ascii="Arial Black" w:hAnsi="Arial Black" w:cs="Arial"/>
              </w:rPr>
            </w:pPr>
          </w:p>
          <w:p w14:paraId="44E77EE5" w14:textId="77777777" w:rsidR="00A229D2" w:rsidRDefault="00A229D2" w:rsidP="00A53B04">
            <w:pPr>
              <w:pStyle w:val="Infotext"/>
              <w:rPr>
                <w:rFonts w:ascii="Arial Black" w:hAnsi="Arial Black" w:cs="Arial"/>
              </w:rPr>
            </w:pPr>
          </w:p>
          <w:p w14:paraId="16BD55AC" w14:textId="77777777" w:rsidR="00A229D2" w:rsidRPr="00C13A5F" w:rsidRDefault="00A229D2" w:rsidP="00A53B04">
            <w:pPr>
              <w:pStyle w:val="Infotext"/>
              <w:rPr>
                <w:rFonts w:ascii="Arial Black" w:hAnsi="Arial Black" w:cs="Arial"/>
              </w:rPr>
            </w:pPr>
          </w:p>
        </w:tc>
        <w:tc>
          <w:tcPr>
            <w:tcW w:w="5000" w:type="dxa"/>
            <w:gridSpan w:val="2"/>
          </w:tcPr>
          <w:p w14:paraId="537BC93E" w14:textId="32608571" w:rsidR="006D5C47" w:rsidRDefault="003D61E1" w:rsidP="00BB0A57">
            <w:pPr>
              <w:ind w:left="1310" w:right="489" w:hanging="1451"/>
              <w:rPr>
                <w:rFonts w:cs="Arial"/>
              </w:rPr>
            </w:pPr>
            <w:r>
              <w:rPr>
                <w:rFonts w:cs="Arial"/>
              </w:rPr>
              <w:lastRenderedPageBreak/>
              <w:t xml:space="preserve">Appendix </w:t>
            </w:r>
            <w:r w:rsidR="00533EC2">
              <w:rPr>
                <w:rFonts w:cs="Arial"/>
              </w:rPr>
              <w:t>1</w:t>
            </w:r>
            <w:r w:rsidR="00533EC2" w:rsidRPr="006B1DE1">
              <w:rPr>
                <w:rFonts w:cs="Arial"/>
              </w:rPr>
              <w:t xml:space="preserve"> </w:t>
            </w:r>
            <w:r w:rsidR="00533EC2">
              <w:rPr>
                <w:rFonts w:cs="Arial"/>
              </w:rPr>
              <w:t xml:space="preserve">  </w:t>
            </w:r>
            <w:r w:rsidR="0032360F">
              <w:rPr>
                <w:rFonts w:cs="Arial"/>
              </w:rPr>
              <w:t xml:space="preserve"> </w:t>
            </w:r>
            <w:r w:rsidR="00B630A5">
              <w:rPr>
                <w:rFonts w:cs="Arial"/>
              </w:rPr>
              <w:t>Revenue Budget</w:t>
            </w:r>
            <w:r w:rsidR="00533EC2">
              <w:rPr>
                <w:rFonts w:cs="Arial"/>
              </w:rPr>
              <w:t xml:space="preserve"> S</w:t>
            </w:r>
            <w:r w:rsidR="006D5C47" w:rsidRPr="006D5C47">
              <w:rPr>
                <w:rFonts w:cs="Arial"/>
              </w:rPr>
              <w:t>ummary</w:t>
            </w:r>
            <w:r w:rsidR="002F6A03">
              <w:rPr>
                <w:rFonts w:cs="Arial"/>
              </w:rPr>
              <w:t xml:space="preserve"> </w:t>
            </w:r>
            <w:r w:rsidR="006D5C47" w:rsidRPr="006D5C47">
              <w:rPr>
                <w:rFonts w:cs="Arial"/>
              </w:rPr>
              <w:t>(Di</w:t>
            </w:r>
            <w:r w:rsidR="00533EC2">
              <w:rPr>
                <w:rFonts w:cs="Arial"/>
              </w:rPr>
              <w:t>visional</w:t>
            </w:r>
            <w:r w:rsidR="006D5C47" w:rsidRPr="006D5C47">
              <w:rPr>
                <w:rFonts w:cs="Arial"/>
              </w:rPr>
              <w:t>) as at 3</w:t>
            </w:r>
            <w:r w:rsidR="00EC0C4D">
              <w:rPr>
                <w:rFonts w:cs="Arial"/>
              </w:rPr>
              <w:t>0</w:t>
            </w:r>
            <w:r w:rsidR="00EC0C4D" w:rsidRPr="00BB0A57">
              <w:rPr>
                <w:rFonts w:cs="Arial"/>
                <w:vertAlign w:val="superscript"/>
              </w:rPr>
              <w:t>th</w:t>
            </w:r>
            <w:r w:rsidR="00EC0C4D">
              <w:rPr>
                <w:rFonts w:cs="Arial"/>
              </w:rPr>
              <w:t xml:space="preserve"> </w:t>
            </w:r>
            <w:r w:rsidR="006A633C">
              <w:rPr>
                <w:rFonts w:cs="Arial"/>
              </w:rPr>
              <w:t>September</w:t>
            </w:r>
            <w:r w:rsidR="009102CE">
              <w:rPr>
                <w:rFonts w:cs="Arial"/>
              </w:rPr>
              <w:t xml:space="preserve"> </w:t>
            </w:r>
            <w:r w:rsidR="009102CE" w:rsidRPr="006D5C47">
              <w:rPr>
                <w:rFonts w:cs="Arial"/>
              </w:rPr>
              <w:t>2017</w:t>
            </w:r>
            <w:r w:rsidR="006D5C47">
              <w:rPr>
                <w:rFonts w:cs="Arial"/>
              </w:rPr>
              <w:t>.</w:t>
            </w:r>
          </w:p>
          <w:p w14:paraId="1B5A9876" w14:textId="77777777" w:rsidR="0032360F" w:rsidRPr="006D5C47" w:rsidRDefault="0032360F" w:rsidP="00D55D81">
            <w:pPr>
              <w:ind w:left="1452" w:right="489" w:hanging="1452"/>
              <w:rPr>
                <w:rFonts w:cs="Arial"/>
              </w:rPr>
            </w:pPr>
          </w:p>
          <w:p w14:paraId="61984921" w14:textId="6D8A6F79" w:rsidR="00FF509C" w:rsidRPr="006B1DE1" w:rsidRDefault="006D5C47" w:rsidP="00BB0A57">
            <w:pPr>
              <w:ind w:left="1310" w:right="489" w:hanging="1310"/>
              <w:rPr>
                <w:rFonts w:cs="Arial"/>
              </w:rPr>
            </w:pPr>
            <w:r w:rsidRPr="006D5C47">
              <w:rPr>
                <w:rFonts w:cs="Arial"/>
              </w:rPr>
              <w:t xml:space="preserve">Appendix 2 </w:t>
            </w:r>
            <w:r w:rsidR="00533EC2">
              <w:rPr>
                <w:rFonts w:cs="Arial"/>
              </w:rPr>
              <w:t xml:space="preserve">   </w:t>
            </w:r>
            <w:r w:rsidR="00FF509C" w:rsidRPr="006B1DE1">
              <w:rPr>
                <w:rFonts w:cs="Arial"/>
              </w:rPr>
              <w:t>MTFS 201</w:t>
            </w:r>
            <w:r w:rsidR="00F865BD">
              <w:rPr>
                <w:rFonts w:cs="Arial"/>
              </w:rPr>
              <w:t>7</w:t>
            </w:r>
            <w:r w:rsidR="00FF509C" w:rsidRPr="006B1DE1">
              <w:rPr>
                <w:rFonts w:cs="Arial"/>
              </w:rPr>
              <w:t>/1</w:t>
            </w:r>
            <w:r w:rsidR="00F865BD">
              <w:rPr>
                <w:rFonts w:cs="Arial"/>
              </w:rPr>
              <w:t>8</w:t>
            </w:r>
            <w:r w:rsidR="00FF509C" w:rsidRPr="006B1DE1">
              <w:rPr>
                <w:rFonts w:cs="Arial"/>
              </w:rPr>
              <w:t xml:space="preserve"> to</w:t>
            </w:r>
            <w:r w:rsidR="00B40A0E">
              <w:rPr>
                <w:rFonts w:cs="Arial"/>
              </w:rPr>
              <w:t xml:space="preserve"> </w:t>
            </w:r>
            <w:r w:rsidR="00FF509C" w:rsidRPr="006B1DE1">
              <w:rPr>
                <w:rFonts w:cs="Arial"/>
              </w:rPr>
              <w:t>201</w:t>
            </w:r>
            <w:r w:rsidR="00E871FD">
              <w:rPr>
                <w:rFonts w:cs="Arial"/>
              </w:rPr>
              <w:t>9</w:t>
            </w:r>
            <w:r w:rsidR="00FF509C" w:rsidRPr="006B1DE1">
              <w:rPr>
                <w:rFonts w:cs="Arial"/>
              </w:rPr>
              <w:t>/</w:t>
            </w:r>
            <w:r w:rsidR="00E871FD">
              <w:rPr>
                <w:rFonts w:cs="Arial"/>
              </w:rPr>
              <w:t>20</w:t>
            </w:r>
          </w:p>
          <w:p w14:paraId="2A3A5E3E" w14:textId="7BEB1CA7" w:rsidR="00FF509C" w:rsidRDefault="00B630A5" w:rsidP="00D55D81">
            <w:pPr>
              <w:ind w:left="1593" w:right="489" w:hanging="1593"/>
              <w:rPr>
                <w:rFonts w:cs="Arial"/>
              </w:rPr>
            </w:pPr>
            <w:r>
              <w:rPr>
                <w:rFonts w:cs="Arial"/>
              </w:rPr>
              <w:t xml:space="preserve">                     </w:t>
            </w:r>
            <w:r w:rsidR="00533EC2">
              <w:rPr>
                <w:rFonts w:cs="Arial"/>
              </w:rPr>
              <w:t xml:space="preserve"> </w:t>
            </w:r>
            <w:r w:rsidR="00FF509C" w:rsidRPr="006B1DE1">
              <w:rPr>
                <w:rFonts w:cs="Arial"/>
              </w:rPr>
              <w:t>Savings Tracker</w:t>
            </w:r>
            <w:r w:rsidR="003C2EB7">
              <w:rPr>
                <w:rFonts w:cs="Arial"/>
              </w:rPr>
              <w:t>.</w:t>
            </w:r>
            <w:r w:rsidR="000C1A07">
              <w:rPr>
                <w:rFonts w:cs="Arial"/>
              </w:rPr>
              <w:t xml:space="preserve"> </w:t>
            </w:r>
          </w:p>
          <w:p w14:paraId="7D979B3D" w14:textId="77777777" w:rsidR="0032360F" w:rsidRDefault="0032360F" w:rsidP="00D55D81">
            <w:pPr>
              <w:ind w:left="1593" w:right="489" w:hanging="1593"/>
              <w:rPr>
                <w:rFonts w:cs="Arial"/>
              </w:rPr>
            </w:pPr>
          </w:p>
          <w:p w14:paraId="7FD87A72" w14:textId="6C1FEC32" w:rsidR="00BF7A26" w:rsidRDefault="003D61E1" w:rsidP="00BB0A57">
            <w:pPr>
              <w:ind w:left="1310" w:right="489" w:hanging="1310"/>
              <w:rPr>
                <w:rFonts w:cs="Arial"/>
              </w:rPr>
            </w:pPr>
            <w:r>
              <w:rPr>
                <w:rFonts w:cs="Arial"/>
              </w:rPr>
              <w:t>Appendix</w:t>
            </w:r>
            <w:r w:rsidR="00533EC2">
              <w:rPr>
                <w:rFonts w:cs="Arial"/>
              </w:rPr>
              <w:t xml:space="preserve"> 3   Draw</w:t>
            </w:r>
            <w:r>
              <w:rPr>
                <w:rFonts w:cs="Arial"/>
              </w:rPr>
              <w:t xml:space="preserve"> Down</w:t>
            </w:r>
            <w:r w:rsidR="00B45A6C">
              <w:rPr>
                <w:rFonts w:cs="Arial"/>
              </w:rPr>
              <w:t xml:space="preserve"> from </w:t>
            </w:r>
            <w:r w:rsidR="002F6A03">
              <w:rPr>
                <w:rFonts w:cs="Arial"/>
              </w:rPr>
              <w:t xml:space="preserve">    </w:t>
            </w:r>
            <w:r>
              <w:rPr>
                <w:rFonts w:cs="Arial"/>
              </w:rPr>
              <w:t>/Contribution</w:t>
            </w:r>
            <w:r w:rsidR="00533EC2">
              <w:rPr>
                <w:rFonts w:cs="Arial"/>
              </w:rPr>
              <w:t xml:space="preserve"> </w:t>
            </w:r>
            <w:r w:rsidR="00C1490A">
              <w:rPr>
                <w:rFonts w:cs="Arial"/>
              </w:rPr>
              <w:t>to R</w:t>
            </w:r>
            <w:r w:rsidR="00533EC2">
              <w:rPr>
                <w:rFonts w:cs="Arial"/>
              </w:rPr>
              <w:t xml:space="preserve">eserves. </w:t>
            </w:r>
          </w:p>
          <w:p w14:paraId="23AF7259" w14:textId="77777777" w:rsidR="002F6A03" w:rsidRDefault="002F6A03" w:rsidP="00BB0A57">
            <w:pPr>
              <w:ind w:left="1593" w:right="489" w:hanging="1452"/>
              <w:rPr>
                <w:rFonts w:cs="Arial"/>
              </w:rPr>
            </w:pPr>
          </w:p>
          <w:p w14:paraId="562B029F" w14:textId="3D36057B" w:rsidR="00C9707A" w:rsidRDefault="00BF7A26" w:rsidP="00BB0A57">
            <w:pPr>
              <w:ind w:left="1452" w:right="489" w:hanging="1452"/>
              <w:rPr>
                <w:rFonts w:cs="Arial"/>
              </w:rPr>
            </w:pPr>
            <w:r>
              <w:rPr>
                <w:rFonts w:cs="Arial"/>
              </w:rPr>
              <w:t xml:space="preserve">Appendix 4    </w:t>
            </w:r>
            <w:r w:rsidR="00C9707A">
              <w:rPr>
                <w:rFonts w:cs="Arial"/>
              </w:rPr>
              <w:t>Capital Programme as at 30</w:t>
            </w:r>
            <w:r w:rsidR="00D15EE6" w:rsidRPr="00CB1B58">
              <w:rPr>
                <w:rFonts w:cs="Arial"/>
                <w:vertAlign w:val="superscript"/>
              </w:rPr>
              <w:t>th</w:t>
            </w:r>
            <w:r w:rsidR="00C9707A">
              <w:rPr>
                <w:rFonts w:cs="Arial"/>
              </w:rPr>
              <w:t xml:space="preserve"> </w:t>
            </w:r>
            <w:r w:rsidR="006A633C">
              <w:rPr>
                <w:rFonts w:cs="Arial"/>
              </w:rPr>
              <w:t>September</w:t>
            </w:r>
            <w:r w:rsidR="00C9707A">
              <w:rPr>
                <w:rFonts w:cs="Arial"/>
              </w:rPr>
              <w:t xml:space="preserve"> 2017.</w:t>
            </w:r>
          </w:p>
          <w:p w14:paraId="5D87561E" w14:textId="7F8A8777" w:rsidR="003D61E1" w:rsidRDefault="006C2029" w:rsidP="00BB0A57">
            <w:pPr>
              <w:ind w:left="1452" w:right="489" w:hanging="1452"/>
              <w:rPr>
                <w:rFonts w:cs="Arial"/>
              </w:rPr>
            </w:pPr>
            <w:r>
              <w:rPr>
                <w:rFonts w:cs="Arial"/>
              </w:rPr>
              <w:t xml:space="preserve"> </w:t>
            </w:r>
          </w:p>
          <w:p w14:paraId="40150001" w14:textId="0428B55F" w:rsidR="006C2029" w:rsidRDefault="006C2029" w:rsidP="00BB0A57">
            <w:pPr>
              <w:ind w:left="1452" w:right="489" w:hanging="1452"/>
              <w:rPr>
                <w:rFonts w:cs="Arial"/>
              </w:rPr>
            </w:pPr>
            <w:r>
              <w:rPr>
                <w:rFonts w:cs="Arial"/>
              </w:rPr>
              <w:t xml:space="preserve">Appendix 5    </w:t>
            </w:r>
            <w:r w:rsidR="002A18D7">
              <w:rPr>
                <w:rFonts w:cs="Arial"/>
              </w:rPr>
              <w:t>In-</w:t>
            </w:r>
            <w:r w:rsidR="00E36CA7">
              <w:rPr>
                <w:rFonts w:cs="Arial"/>
              </w:rPr>
              <w:t xml:space="preserve">year </w:t>
            </w:r>
            <w:r w:rsidR="002A18D7">
              <w:rPr>
                <w:rFonts w:cs="Arial"/>
              </w:rPr>
              <w:t xml:space="preserve">Reduction to 2017/18 </w:t>
            </w:r>
            <w:r w:rsidR="00E36CA7">
              <w:rPr>
                <w:rFonts w:cs="Arial"/>
              </w:rPr>
              <w:t>Capital Pr</w:t>
            </w:r>
            <w:r w:rsidR="00547BB2">
              <w:rPr>
                <w:rFonts w:cs="Arial"/>
              </w:rPr>
              <w:t>ogramme</w:t>
            </w:r>
            <w:r w:rsidR="00E36CA7">
              <w:rPr>
                <w:rFonts w:cs="Arial"/>
              </w:rPr>
              <w:t>.</w:t>
            </w:r>
          </w:p>
          <w:p w14:paraId="14380F75" w14:textId="77777777" w:rsidR="00E36CA7" w:rsidRDefault="00E36CA7" w:rsidP="00BB0A57">
            <w:pPr>
              <w:ind w:left="1452" w:right="489" w:hanging="1452"/>
              <w:rPr>
                <w:rFonts w:cs="Arial"/>
              </w:rPr>
            </w:pPr>
          </w:p>
          <w:p w14:paraId="26AC5665" w14:textId="17139C1A" w:rsidR="00E36CA7" w:rsidRPr="00BE1732" w:rsidRDefault="00E36CA7" w:rsidP="00BB0A57">
            <w:pPr>
              <w:ind w:left="1452" w:right="489" w:hanging="1452"/>
              <w:rPr>
                <w:rFonts w:cs="Arial"/>
              </w:rPr>
            </w:pPr>
            <w:r>
              <w:rPr>
                <w:rFonts w:cs="Arial"/>
              </w:rPr>
              <w:t>Appendix 6</w:t>
            </w:r>
            <w:r w:rsidRPr="00E36CA7">
              <w:rPr>
                <w:rFonts w:cs="Arial"/>
              </w:rPr>
              <w:t xml:space="preserve"> </w:t>
            </w:r>
            <w:r>
              <w:rPr>
                <w:rFonts w:cs="Arial"/>
              </w:rPr>
              <w:t xml:space="preserve">   </w:t>
            </w:r>
            <w:proofErr w:type="spellStart"/>
            <w:r w:rsidRPr="00E36CA7">
              <w:rPr>
                <w:rFonts w:cs="Arial"/>
              </w:rPr>
              <w:t>Concilium</w:t>
            </w:r>
            <w:proofErr w:type="spellEnd"/>
            <w:r w:rsidRPr="00E36CA7">
              <w:rPr>
                <w:rFonts w:cs="Arial"/>
              </w:rPr>
              <w:t xml:space="preserve"> Business Services Performance Report</w:t>
            </w:r>
            <w:r w:rsidR="00547BB2">
              <w:rPr>
                <w:rFonts w:cs="Arial"/>
              </w:rPr>
              <w:t>.</w:t>
            </w:r>
          </w:p>
          <w:p w14:paraId="462D4E2A" w14:textId="77777777" w:rsidR="00EF3E22" w:rsidRDefault="00EF3E22" w:rsidP="00C61CE7">
            <w:pPr>
              <w:ind w:right="489"/>
              <w:rPr>
                <w:rFonts w:cs="Arial"/>
              </w:rPr>
            </w:pPr>
          </w:p>
          <w:p w14:paraId="2C4D4186" w14:textId="42F3C083" w:rsidR="00617488" w:rsidRPr="007635E6" w:rsidRDefault="00617488" w:rsidP="00C61CE7">
            <w:pPr>
              <w:ind w:right="489"/>
              <w:rPr>
                <w:rFonts w:cs="Arial"/>
              </w:rPr>
            </w:pPr>
          </w:p>
        </w:tc>
      </w:tr>
      <w:tr w:rsidR="00333FAA" w14:paraId="0515A286" w14:textId="77777777" w:rsidTr="00BE3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1" w:type="dxa"/>
        </w:trPr>
        <w:tc>
          <w:tcPr>
            <w:tcW w:w="8339" w:type="dxa"/>
            <w:gridSpan w:val="2"/>
            <w:tcBorders>
              <w:top w:val="nil"/>
              <w:left w:val="nil"/>
              <w:right w:val="nil"/>
            </w:tcBorders>
          </w:tcPr>
          <w:p w14:paraId="633279A7" w14:textId="3C7B2A0C" w:rsidR="00333FAA" w:rsidRDefault="00333FAA" w:rsidP="00A53B04">
            <w:pPr>
              <w:pStyle w:val="Heading1"/>
            </w:pPr>
            <w:r>
              <w:lastRenderedPageBreak/>
              <w:t>Section 1 – Summary and Recommendations</w:t>
            </w:r>
          </w:p>
          <w:p w14:paraId="2271DC1A" w14:textId="77777777" w:rsidR="00333FAA" w:rsidRDefault="00333FAA" w:rsidP="00A53B04"/>
        </w:tc>
      </w:tr>
      <w:tr w:rsidR="00333FAA" w14:paraId="63D0B186" w14:textId="77777777" w:rsidTr="00C0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1" w:type="dxa"/>
          <w:trHeight w:val="5097"/>
        </w:trPr>
        <w:tc>
          <w:tcPr>
            <w:tcW w:w="8339" w:type="dxa"/>
            <w:gridSpan w:val="2"/>
          </w:tcPr>
          <w:p w14:paraId="2A089053" w14:textId="1A309AD9" w:rsidR="00333FAA" w:rsidRDefault="00333FAA" w:rsidP="00A53B04"/>
          <w:p w14:paraId="259588FC" w14:textId="4F4C143F" w:rsidR="00FF509C" w:rsidRPr="00E6369A" w:rsidRDefault="0011741A" w:rsidP="00FF509C">
            <w:r w:rsidRPr="0011741A">
              <w:t>This report sets out the</w:t>
            </w:r>
            <w:r w:rsidR="00361B43" w:rsidRPr="00361B43">
              <w:t xml:space="preserve"> Council’s revenue monitoring position as at </w:t>
            </w:r>
            <w:r w:rsidR="00EC0C4D">
              <w:t xml:space="preserve">Quarter </w:t>
            </w:r>
            <w:r w:rsidR="006A633C">
              <w:t>2</w:t>
            </w:r>
            <w:r w:rsidR="00361B43" w:rsidRPr="00361B43">
              <w:t xml:space="preserve"> 2017/18 (3</w:t>
            </w:r>
            <w:r w:rsidR="00EC0C4D">
              <w:t>0</w:t>
            </w:r>
            <w:r w:rsidR="00EC0C4D" w:rsidRPr="00BB0A57">
              <w:rPr>
                <w:vertAlign w:val="superscript"/>
              </w:rPr>
              <w:t>th</w:t>
            </w:r>
            <w:r w:rsidR="00EC0C4D">
              <w:t xml:space="preserve"> </w:t>
            </w:r>
            <w:r w:rsidR="006A633C">
              <w:t>September</w:t>
            </w:r>
            <w:r w:rsidR="00361B43" w:rsidRPr="00361B43">
              <w:t xml:space="preserve"> 2017)</w:t>
            </w:r>
            <w:r w:rsidR="00EC0C4D">
              <w:t>.</w:t>
            </w:r>
          </w:p>
          <w:p w14:paraId="74B4F44D" w14:textId="77777777" w:rsidR="00FF509C" w:rsidRPr="00E6369A" w:rsidRDefault="00FF509C" w:rsidP="00FF509C"/>
          <w:p w14:paraId="5D0D161F" w14:textId="77777777" w:rsidR="00FF509C" w:rsidRPr="00E6369A" w:rsidRDefault="00FF509C" w:rsidP="00FF509C">
            <w:pPr>
              <w:pStyle w:val="Heading2"/>
            </w:pPr>
            <w:r w:rsidRPr="00E6369A">
              <w:t xml:space="preserve">Recommendations: </w:t>
            </w:r>
          </w:p>
          <w:p w14:paraId="5A168F88" w14:textId="77777777" w:rsidR="00FF509C" w:rsidRPr="00E6369A" w:rsidRDefault="00FF509C" w:rsidP="00FF509C"/>
          <w:p w14:paraId="338699CB" w14:textId="34B195D8" w:rsidR="00BE1732" w:rsidRDefault="00361B43" w:rsidP="00173DA5">
            <w:pPr>
              <w:pStyle w:val="ListParagraph"/>
              <w:numPr>
                <w:ilvl w:val="0"/>
                <w:numId w:val="1"/>
              </w:numPr>
            </w:pPr>
            <w:r w:rsidRPr="00361B43">
              <w:t xml:space="preserve">Cabinet note the revenue forecast position detailed in this report as at </w:t>
            </w:r>
            <w:r w:rsidR="00EC0C4D">
              <w:t xml:space="preserve">Quarter </w:t>
            </w:r>
            <w:r w:rsidR="00D15EE6">
              <w:t>2</w:t>
            </w:r>
            <w:r w:rsidR="009102CE" w:rsidRPr="00361B43">
              <w:t xml:space="preserve"> 2017</w:t>
            </w:r>
            <w:r w:rsidRPr="00361B43">
              <w:t>/18</w:t>
            </w:r>
            <w:r w:rsidR="00116D84">
              <w:t>.</w:t>
            </w:r>
            <w:r>
              <w:t xml:space="preserve"> </w:t>
            </w:r>
          </w:p>
          <w:p w14:paraId="27FA4691" w14:textId="77777777" w:rsidR="00BE1732" w:rsidRDefault="00BE1732" w:rsidP="00BE1732">
            <w:pPr>
              <w:pStyle w:val="ListParagraph"/>
            </w:pPr>
          </w:p>
          <w:p w14:paraId="0B6D5CE0" w14:textId="56AEFB69" w:rsidR="00014135" w:rsidRPr="00014135" w:rsidRDefault="00014135" w:rsidP="00014135">
            <w:pPr>
              <w:pStyle w:val="ListParagraph"/>
              <w:numPr>
                <w:ilvl w:val="0"/>
                <w:numId w:val="1"/>
              </w:numPr>
            </w:pPr>
            <w:r w:rsidRPr="00014135">
              <w:t>Cabinet to approve debt write</w:t>
            </w:r>
            <w:r>
              <w:t xml:space="preserve"> off as specified in paragraph 2</w:t>
            </w:r>
            <w:r w:rsidR="00FE0C58">
              <w:t>.7</w:t>
            </w:r>
            <w:r w:rsidR="00CD735C">
              <w:t>0</w:t>
            </w:r>
          </w:p>
          <w:p w14:paraId="10DDE682" w14:textId="77777777" w:rsidR="00014135" w:rsidRDefault="00014135" w:rsidP="00CB1B58">
            <w:pPr>
              <w:pStyle w:val="ListParagraph"/>
            </w:pPr>
          </w:p>
          <w:p w14:paraId="7C93BB87" w14:textId="77D7FB52" w:rsidR="0009207E" w:rsidRPr="00BF7A26" w:rsidRDefault="003C0F6E" w:rsidP="0009207E">
            <w:pPr>
              <w:pStyle w:val="ListParagraph"/>
              <w:numPr>
                <w:ilvl w:val="0"/>
                <w:numId w:val="1"/>
              </w:numPr>
            </w:pPr>
            <w:r>
              <w:t xml:space="preserve">Cabinet to approve addition to the Capital Programme as specified in paragraph </w:t>
            </w:r>
            <w:r w:rsidR="00FC2811">
              <w:t>3.3</w:t>
            </w:r>
            <w:r w:rsidR="00386D8F">
              <w:t>2</w:t>
            </w:r>
            <w:r w:rsidR="00FC2811">
              <w:t xml:space="preserve"> to 3.3</w:t>
            </w:r>
            <w:r w:rsidR="00386D8F">
              <w:t>4</w:t>
            </w:r>
          </w:p>
          <w:p w14:paraId="3ED15D15" w14:textId="77777777" w:rsidR="00520D2A" w:rsidRPr="00BB0A57" w:rsidRDefault="00520D2A" w:rsidP="00520D2A">
            <w:pPr>
              <w:pStyle w:val="ListParagraph"/>
              <w:rPr>
                <w:highlight w:val="yellow"/>
              </w:rPr>
            </w:pPr>
          </w:p>
          <w:p w14:paraId="1513DE2F" w14:textId="7C841434" w:rsidR="00014135" w:rsidRDefault="00C71252" w:rsidP="0002252A">
            <w:pPr>
              <w:pStyle w:val="ListParagraph"/>
              <w:numPr>
                <w:ilvl w:val="0"/>
                <w:numId w:val="1"/>
              </w:numPr>
            </w:pPr>
            <w:r>
              <w:t xml:space="preserve">Cabinet </w:t>
            </w:r>
            <w:r w:rsidR="005D3F8B">
              <w:t>not</w:t>
            </w:r>
            <w:r w:rsidR="00C2085E">
              <w:t>e  reduction</w:t>
            </w:r>
            <w:r w:rsidR="00547BB2">
              <w:t>s</w:t>
            </w:r>
            <w:r w:rsidR="00C2085E">
              <w:t xml:space="preserve"> </w:t>
            </w:r>
            <w:r w:rsidR="00D15EE6">
              <w:t>to</w:t>
            </w:r>
            <w:r>
              <w:t xml:space="preserve"> the</w:t>
            </w:r>
            <w:r w:rsidR="005D3F8B">
              <w:t xml:space="preserve"> Capital Programme as s</w:t>
            </w:r>
            <w:r w:rsidR="00FC2811">
              <w:t>tated in paragraph 3.3</w:t>
            </w:r>
            <w:r w:rsidR="00386D8F">
              <w:t>5</w:t>
            </w:r>
            <w:r w:rsidR="00FC2811">
              <w:t xml:space="preserve"> to 3.3</w:t>
            </w:r>
            <w:r w:rsidR="00386D8F">
              <w:t>6</w:t>
            </w:r>
            <w:r w:rsidR="00C02097">
              <w:t xml:space="preserve"> and s</w:t>
            </w:r>
            <w:r>
              <w:t>pecified in Appendix 5</w:t>
            </w:r>
          </w:p>
          <w:p w14:paraId="394643CB" w14:textId="77777777" w:rsidR="00014135" w:rsidRDefault="00014135" w:rsidP="00CB1B58">
            <w:pPr>
              <w:pStyle w:val="ListParagraph"/>
            </w:pPr>
          </w:p>
          <w:p w14:paraId="3FE137E4" w14:textId="0126FB3E" w:rsidR="00EC7194" w:rsidRPr="00EC7194" w:rsidRDefault="00EC7194" w:rsidP="00EC7194">
            <w:pPr>
              <w:pStyle w:val="ListParagraph"/>
              <w:numPr>
                <w:ilvl w:val="0"/>
                <w:numId w:val="1"/>
              </w:numPr>
            </w:pPr>
            <w:r>
              <w:t>Cabinet note the quarter</w:t>
            </w:r>
            <w:r w:rsidRPr="00EC7194">
              <w:t xml:space="preserve"> </w:t>
            </w:r>
            <w:r w:rsidR="00D15EE6">
              <w:t xml:space="preserve">2 </w:t>
            </w:r>
            <w:r w:rsidR="00C71252">
              <w:t>performance reports</w:t>
            </w:r>
            <w:r w:rsidRPr="00EC7194">
              <w:t xml:space="preserve"> from </w:t>
            </w:r>
            <w:proofErr w:type="spellStart"/>
            <w:r w:rsidRPr="00EC7194">
              <w:t>Concilium</w:t>
            </w:r>
            <w:proofErr w:type="spellEnd"/>
            <w:r w:rsidRPr="00EC7194">
              <w:t xml:space="preserve"> Business Service as specified in Appendix </w:t>
            </w:r>
            <w:r w:rsidR="00C71252">
              <w:t>6</w:t>
            </w:r>
            <w:r w:rsidRPr="00EC7194">
              <w:t xml:space="preserve"> (Part II </w:t>
            </w:r>
            <w:r w:rsidR="0030198F">
              <w:t>report</w:t>
            </w:r>
            <w:r w:rsidRPr="00EC7194">
              <w:t>).</w:t>
            </w:r>
          </w:p>
          <w:p w14:paraId="5CFBACFC" w14:textId="77777777" w:rsidR="00EC7194" w:rsidRPr="00BB0A57" w:rsidRDefault="00EC7194" w:rsidP="00EC7194">
            <w:pPr>
              <w:pStyle w:val="ListParagraph"/>
            </w:pPr>
          </w:p>
          <w:p w14:paraId="55B13C5D" w14:textId="77777777" w:rsidR="00BF7A26" w:rsidRPr="00A7359D" w:rsidRDefault="00BF7A26" w:rsidP="00BB0A57">
            <w:pPr>
              <w:pStyle w:val="ListParagraph"/>
              <w:rPr>
                <w:highlight w:val="yellow"/>
              </w:rPr>
            </w:pPr>
          </w:p>
          <w:p w14:paraId="37A6EA90" w14:textId="77777777" w:rsidR="00785D40" w:rsidRDefault="00785D40" w:rsidP="00785D40">
            <w:pPr>
              <w:pStyle w:val="ListParagraph"/>
            </w:pPr>
          </w:p>
          <w:p w14:paraId="1D0F13EA" w14:textId="26F5865C" w:rsidR="00FF509C" w:rsidRPr="00E6369A" w:rsidRDefault="00FF509C" w:rsidP="00FF509C">
            <w:pPr>
              <w:rPr>
                <w:b/>
                <w:sz w:val="28"/>
                <w:szCs w:val="28"/>
              </w:rPr>
            </w:pPr>
            <w:r w:rsidRPr="00E6369A">
              <w:rPr>
                <w:b/>
                <w:sz w:val="28"/>
                <w:szCs w:val="28"/>
              </w:rPr>
              <w:t>Reason:  (For recommendation)</w:t>
            </w:r>
          </w:p>
          <w:p w14:paraId="667BC136" w14:textId="5347E397" w:rsidR="00333FAA" w:rsidRDefault="00A53151" w:rsidP="00FF509C">
            <w:r w:rsidRPr="0009207E">
              <w:t>To</w:t>
            </w:r>
            <w:r w:rsidRPr="00361B43">
              <w:t xml:space="preserve"> report</w:t>
            </w:r>
            <w:r w:rsidR="00361B43" w:rsidRPr="00361B43">
              <w:t xml:space="preserve"> the 2017/18 forecast financial position as at 3</w:t>
            </w:r>
            <w:r w:rsidR="00EC0C4D">
              <w:t>0</w:t>
            </w:r>
            <w:r w:rsidR="00EC0C4D" w:rsidRPr="00BB0A57">
              <w:rPr>
                <w:vertAlign w:val="superscript"/>
              </w:rPr>
              <w:t>th</w:t>
            </w:r>
            <w:r w:rsidR="00EC0C4D">
              <w:t xml:space="preserve"> </w:t>
            </w:r>
            <w:r w:rsidR="006A633C">
              <w:t>September</w:t>
            </w:r>
            <w:r w:rsidR="009102CE">
              <w:t xml:space="preserve"> </w:t>
            </w:r>
            <w:r w:rsidR="009102CE" w:rsidRPr="00361B43">
              <w:t>2017</w:t>
            </w:r>
            <w:r w:rsidR="004566B3">
              <w:t xml:space="preserve"> </w:t>
            </w:r>
            <w:r w:rsidR="00AD0C57">
              <w:t>and seek</w:t>
            </w:r>
            <w:r w:rsidR="0009207E">
              <w:t xml:space="preserve"> </w:t>
            </w:r>
            <w:r w:rsidR="0013304F">
              <w:t>Cabinet</w:t>
            </w:r>
            <w:r w:rsidR="0009207E">
              <w:t xml:space="preserve"> </w:t>
            </w:r>
            <w:r w:rsidR="0096570D" w:rsidRPr="003E0DBB">
              <w:t>approval for</w:t>
            </w:r>
            <w:r w:rsidR="00C1490A">
              <w:t xml:space="preserve"> </w:t>
            </w:r>
            <w:r w:rsidR="00381603">
              <w:t>c</w:t>
            </w:r>
            <w:r w:rsidR="00C1490A">
              <w:t xml:space="preserve">apital </w:t>
            </w:r>
            <w:r w:rsidR="00381603">
              <w:t>p</w:t>
            </w:r>
            <w:r w:rsidR="00C1490A">
              <w:t>rogra</w:t>
            </w:r>
            <w:r w:rsidR="002C1AC5">
              <w:t>m</w:t>
            </w:r>
            <w:r w:rsidR="00C1490A">
              <w:t>me</w:t>
            </w:r>
            <w:r w:rsidR="0096570D" w:rsidRPr="003E0DBB">
              <w:t xml:space="preserve"> adjustments which re</w:t>
            </w:r>
            <w:r w:rsidR="00953298" w:rsidRPr="003E0DBB">
              <w:t>quire Cabinet approval in accordance with</w:t>
            </w:r>
            <w:r w:rsidR="0096570D" w:rsidRPr="003E0DBB">
              <w:t xml:space="preserve"> Financial Regulations.</w:t>
            </w:r>
          </w:p>
          <w:p w14:paraId="34B02037" w14:textId="77777777" w:rsidR="00333FAA" w:rsidRDefault="00333FAA" w:rsidP="00A53B04">
            <w:pPr>
              <w:jc w:val="both"/>
              <w:rPr>
                <w:rFonts w:cs="Arial"/>
              </w:rPr>
            </w:pPr>
          </w:p>
        </w:tc>
      </w:tr>
    </w:tbl>
    <w:p w14:paraId="380862F1" w14:textId="77777777" w:rsidR="001B5724" w:rsidRDefault="001B5724" w:rsidP="00DA6F37"/>
    <w:p w14:paraId="585673FD" w14:textId="77777777" w:rsidR="00617488" w:rsidRDefault="00617488" w:rsidP="00DA6F37"/>
    <w:p w14:paraId="07AC8E59" w14:textId="77777777" w:rsidR="00617488" w:rsidRDefault="00617488" w:rsidP="00DA6F37"/>
    <w:p w14:paraId="01DDB338" w14:textId="77777777" w:rsidR="00617488" w:rsidRDefault="00617488" w:rsidP="00DA6F37"/>
    <w:p w14:paraId="31311860" w14:textId="77777777" w:rsidR="00617488" w:rsidRDefault="00617488" w:rsidP="00DA6F37"/>
    <w:p w14:paraId="4380FB16" w14:textId="77777777" w:rsidR="00617488" w:rsidRDefault="00617488" w:rsidP="00DA6F37"/>
    <w:p w14:paraId="0B791248" w14:textId="20D1372B" w:rsidR="001B5724" w:rsidRDefault="001B5724" w:rsidP="00DA6F37"/>
    <w:p w14:paraId="3EBF1412" w14:textId="77777777" w:rsidR="001B5724" w:rsidRDefault="001B5724" w:rsidP="00DA6F37"/>
    <w:p w14:paraId="5CFE2BF1" w14:textId="77777777" w:rsidR="00741AEB" w:rsidRDefault="00741AEB" w:rsidP="00741AEB">
      <w:pPr>
        <w:pStyle w:val="Heading1"/>
      </w:pPr>
      <w:r w:rsidRPr="006B1DE1">
        <w:t>Section 2 – Report</w:t>
      </w:r>
    </w:p>
    <w:p w14:paraId="1DE891AC" w14:textId="77777777" w:rsidR="004F7602" w:rsidRDefault="004F7602" w:rsidP="00AF1127"/>
    <w:p w14:paraId="4F47D206" w14:textId="4E8F60A1" w:rsidR="004D4468" w:rsidRPr="00835EA0" w:rsidRDefault="00FA5D52" w:rsidP="00404B4F">
      <w:pPr>
        <w:pStyle w:val="ListParagraph"/>
        <w:keepNext/>
        <w:numPr>
          <w:ilvl w:val="1"/>
          <w:numId w:val="3"/>
        </w:numPr>
        <w:spacing w:after="240"/>
        <w:ind w:left="363" w:hanging="505"/>
        <w:jc w:val="both"/>
        <w:outlineLvl w:val="1"/>
        <w:rPr>
          <w:rFonts w:cs="Arial"/>
          <w:b/>
          <w:bCs/>
          <w:kern w:val="32"/>
          <w:sz w:val="28"/>
          <w:szCs w:val="28"/>
          <w:u w:val="single"/>
        </w:rPr>
      </w:pPr>
      <w:r w:rsidRPr="00835EA0">
        <w:rPr>
          <w:rFonts w:cs="Arial"/>
          <w:b/>
          <w:bCs/>
          <w:kern w:val="32"/>
          <w:sz w:val="28"/>
          <w:szCs w:val="28"/>
          <w:u w:val="single"/>
        </w:rPr>
        <w:t>INTRODUCTION</w:t>
      </w:r>
    </w:p>
    <w:p w14:paraId="145D74AF" w14:textId="6D7ADCDF" w:rsidR="004049E4" w:rsidRDefault="004049E4" w:rsidP="008F1A2F">
      <w:pPr>
        <w:pStyle w:val="ListParagraph"/>
        <w:keepNext/>
        <w:numPr>
          <w:ilvl w:val="1"/>
          <w:numId w:val="138"/>
        </w:numPr>
        <w:spacing w:after="240"/>
        <w:ind w:left="709" w:hanging="851"/>
        <w:jc w:val="both"/>
        <w:outlineLvl w:val="1"/>
      </w:pPr>
      <w:r w:rsidRPr="004049E4">
        <w:t xml:space="preserve">The net forecast position as at </w:t>
      </w:r>
      <w:r w:rsidR="005B671D">
        <w:t xml:space="preserve">Quarter </w:t>
      </w:r>
      <w:r w:rsidR="006A633C">
        <w:t>2</w:t>
      </w:r>
      <w:r w:rsidRPr="004049E4">
        <w:t xml:space="preserve"> (3</w:t>
      </w:r>
      <w:r w:rsidR="005B671D">
        <w:t>0</w:t>
      </w:r>
      <w:r w:rsidR="005B671D" w:rsidRPr="008F1A2F">
        <w:rPr>
          <w:vertAlign w:val="superscript"/>
        </w:rPr>
        <w:t>th</w:t>
      </w:r>
      <w:r w:rsidR="005B671D">
        <w:t xml:space="preserve"> </w:t>
      </w:r>
      <w:r w:rsidR="006C5084">
        <w:t>September</w:t>
      </w:r>
      <w:r w:rsidR="005B671D">
        <w:t xml:space="preserve"> </w:t>
      </w:r>
      <w:r w:rsidRPr="004049E4">
        <w:t xml:space="preserve">2017) on </w:t>
      </w:r>
      <w:r w:rsidR="008F1A2F" w:rsidRPr="004049E4">
        <w:t xml:space="preserve">the </w:t>
      </w:r>
      <w:r w:rsidR="008F1A2F">
        <w:t>revenue</w:t>
      </w:r>
      <w:r w:rsidRPr="004049E4">
        <w:t xml:space="preserve"> budget is </w:t>
      </w:r>
      <w:r w:rsidR="00DA71DF">
        <w:t xml:space="preserve">showing a </w:t>
      </w:r>
      <w:r w:rsidR="009102CE">
        <w:t xml:space="preserve">balanced </w:t>
      </w:r>
      <w:r w:rsidR="009102CE" w:rsidRPr="004049E4">
        <w:t>position</w:t>
      </w:r>
      <w:r w:rsidR="00381603">
        <w:t>.</w:t>
      </w:r>
      <w:r w:rsidRPr="004049E4">
        <w:t xml:space="preserve">  </w:t>
      </w:r>
      <w:r w:rsidR="00556480">
        <w:t xml:space="preserve">The directorates are reporting </w:t>
      </w:r>
      <w:proofErr w:type="gramStart"/>
      <w:r w:rsidR="00556480">
        <w:t>an overspend</w:t>
      </w:r>
      <w:proofErr w:type="gramEnd"/>
      <w:r w:rsidR="00556480">
        <w:t xml:space="preserve"> of £3.880m</w:t>
      </w:r>
      <w:r w:rsidR="002C3ACF">
        <w:t>, a</w:t>
      </w:r>
      <w:r w:rsidR="004926C1">
        <w:t>n</w:t>
      </w:r>
      <w:r w:rsidR="002C3ACF">
        <w:t xml:space="preserve"> in</w:t>
      </w:r>
      <w:r w:rsidR="004926C1">
        <w:t>crease in</w:t>
      </w:r>
      <w:r w:rsidR="002C3ACF">
        <w:t xml:space="preserve"> forecast overspend of £320k when compare</w:t>
      </w:r>
      <w:r w:rsidR="009D39DA">
        <w:t>d</w:t>
      </w:r>
      <w:r w:rsidR="002C3ACF">
        <w:t xml:space="preserve"> to Quarter</w:t>
      </w:r>
      <w:r w:rsidR="009D39DA">
        <w:t xml:space="preserve"> </w:t>
      </w:r>
      <w:r w:rsidR="002C3ACF">
        <w:t>1. T</w:t>
      </w:r>
      <w:r w:rsidR="00BE09C5">
        <w:t>he Children</w:t>
      </w:r>
      <w:r w:rsidR="00A53151">
        <w:t>’s</w:t>
      </w:r>
      <w:r w:rsidR="00BE09C5">
        <w:t xml:space="preserve"> division</w:t>
      </w:r>
      <w:r w:rsidRPr="004049E4">
        <w:t xml:space="preserve"> is forecasting</w:t>
      </w:r>
      <w:r w:rsidR="000F5D6F">
        <w:t xml:space="preserve"> net</w:t>
      </w:r>
      <w:r w:rsidRPr="004049E4">
        <w:t xml:space="preserve"> </w:t>
      </w:r>
      <w:r w:rsidR="009102CE">
        <w:t xml:space="preserve">demand </w:t>
      </w:r>
      <w:r w:rsidR="009102CE" w:rsidRPr="004049E4">
        <w:t>pressures</w:t>
      </w:r>
      <w:r w:rsidRPr="004049E4">
        <w:t xml:space="preserve"> estimated at £</w:t>
      </w:r>
      <w:r w:rsidR="00A66EE4">
        <w:t>3</w:t>
      </w:r>
      <w:r w:rsidRPr="004049E4">
        <w:t>m</w:t>
      </w:r>
      <w:r w:rsidR="00A53151">
        <w:t>,</w:t>
      </w:r>
      <w:r w:rsidR="00CC4968">
        <w:t xml:space="preserve"> a reduction of £5</w:t>
      </w:r>
      <w:r w:rsidR="002C3ACF">
        <w:t>59</w:t>
      </w:r>
      <w:r w:rsidR="00CC4968">
        <w:t xml:space="preserve">k from </w:t>
      </w:r>
      <w:r w:rsidR="002C3ACF">
        <w:t>Quarter 1</w:t>
      </w:r>
      <w:r w:rsidR="009D39DA">
        <w:t>. Adult</w:t>
      </w:r>
      <w:r w:rsidR="002C3ACF">
        <w:t xml:space="preserve"> service</w:t>
      </w:r>
      <w:r w:rsidR="009D39DA">
        <w:t>s are</w:t>
      </w:r>
      <w:r w:rsidR="002C3ACF">
        <w:t xml:space="preserve"> forecasting</w:t>
      </w:r>
      <w:r w:rsidR="009D39DA">
        <w:t xml:space="preserve"> a</w:t>
      </w:r>
      <w:r w:rsidR="002C3ACF">
        <w:t xml:space="preserve"> </w:t>
      </w:r>
      <w:r w:rsidR="00635E37">
        <w:t>purchasing pressure</w:t>
      </w:r>
      <w:r w:rsidR="009D39DA">
        <w:t xml:space="preserve"> of</w:t>
      </w:r>
      <w:r w:rsidR="00635E37">
        <w:t xml:space="preserve"> £439k</w:t>
      </w:r>
      <w:r w:rsidR="009D39DA">
        <w:t xml:space="preserve">. The </w:t>
      </w:r>
      <w:r w:rsidR="00635E37">
        <w:t xml:space="preserve">Community directorate </w:t>
      </w:r>
      <w:r w:rsidR="009D39DA">
        <w:t>are reporting a forecast</w:t>
      </w:r>
      <w:r w:rsidR="00635E37">
        <w:t xml:space="preserve"> pressure of £428k</w:t>
      </w:r>
      <w:r w:rsidR="009D39DA">
        <w:t>.</w:t>
      </w:r>
      <w:r w:rsidR="00B22532">
        <w:t xml:space="preserve"> </w:t>
      </w:r>
      <w:r w:rsidRPr="004049E4">
        <w:t>The</w:t>
      </w:r>
      <w:r w:rsidR="002C3ACF">
        <w:t xml:space="preserve"> £3.880m overspends</w:t>
      </w:r>
      <w:r w:rsidRPr="004049E4">
        <w:t xml:space="preserve"> are fully mitigated through the receipt of </w:t>
      </w:r>
      <w:r w:rsidR="007F43DF">
        <w:t>a</w:t>
      </w:r>
      <w:r w:rsidRPr="004049E4">
        <w:t xml:space="preserve">dditional income </w:t>
      </w:r>
      <w:r w:rsidR="00AC3718">
        <w:t xml:space="preserve">notified after budget setting, </w:t>
      </w:r>
      <w:r w:rsidR="00A53151">
        <w:t>corporate</w:t>
      </w:r>
      <w:r w:rsidRPr="004049E4">
        <w:t xml:space="preserve"> items</w:t>
      </w:r>
      <w:r w:rsidR="00A95580">
        <w:t xml:space="preserve"> </w:t>
      </w:r>
      <w:r w:rsidR="009102CE">
        <w:t>and the</w:t>
      </w:r>
      <w:r w:rsidRPr="004049E4">
        <w:t xml:space="preserve"> implementation of </w:t>
      </w:r>
      <w:r w:rsidR="00A53151">
        <w:t xml:space="preserve">a </w:t>
      </w:r>
      <w:r w:rsidRPr="004049E4">
        <w:t xml:space="preserve">spending control </w:t>
      </w:r>
      <w:r w:rsidR="00A95580">
        <w:t xml:space="preserve">freeze </w:t>
      </w:r>
      <w:r w:rsidRPr="004049E4">
        <w:t>across the organisation</w:t>
      </w:r>
      <w:r>
        <w:t>.</w:t>
      </w:r>
    </w:p>
    <w:p w14:paraId="4D62E494" w14:textId="3914BB8E" w:rsidR="00564FB0" w:rsidRPr="008B10C1" w:rsidRDefault="004D4468" w:rsidP="008F1A2F">
      <w:pPr>
        <w:tabs>
          <w:tab w:val="left" w:pos="284"/>
        </w:tabs>
        <w:ind w:left="648" w:hanging="648"/>
        <w:jc w:val="both"/>
      </w:pPr>
      <w:r>
        <w:t>1.2</w:t>
      </w:r>
      <w:r>
        <w:tab/>
      </w:r>
      <w:r w:rsidR="00564FB0" w:rsidRPr="008B10C1">
        <w:t>The capital programme is report</w:t>
      </w:r>
      <w:r w:rsidR="00AC34B2" w:rsidRPr="008B10C1">
        <w:t>ing a forecast spend of £1</w:t>
      </w:r>
      <w:r w:rsidR="00700A45">
        <w:t>64.487</w:t>
      </w:r>
      <w:r w:rsidR="00564FB0" w:rsidRPr="008B10C1">
        <w:t>m against a budget of £</w:t>
      </w:r>
      <w:r w:rsidR="00D13CE0" w:rsidRPr="00CB1B58">
        <w:t>198.231</w:t>
      </w:r>
      <w:r w:rsidR="00564FB0" w:rsidRPr="008B10C1">
        <w:t xml:space="preserve">m.  This represents a total forecast spend of </w:t>
      </w:r>
      <w:r w:rsidR="00D13CE0" w:rsidRPr="00CB1B58">
        <w:t>83</w:t>
      </w:r>
      <w:r w:rsidR="00564FB0" w:rsidRPr="008B10C1">
        <w:t xml:space="preserve">%. In terms of general fund capital, there is </w:t>
      </w:r>
      <w:r w:rsidR="009102CE" w:rsidRPr="008B10C1">
        <w:t>a</w:t>
      </w:r>
      <w:r w:rsidR="00D13CE0" w:rsidRPr="00CB1B58">
        <w:t xml:space="preserve"> net</w:t>
      </w:r>
      <w:r w:rsidR="009102CE" w:rsidRPr="008B10C1">
        <w:t xml:space="preserve"> forecast underspends</w:t>
      </w:r>
      <w:r w:rsidR="00A52A82" w:rsidRPr="008B10C1">
        <w:t xml:space="preserve"> </w:t>
      </w:r>
      <w:r w:rsidR="00D85184" w:rsidRPr="008B10C1">
        <w:t xml:space="preserve">of </w:t>
      </w:r>
      <w:r w:rsidR="00A52A82" w:rsidRPr="008B10C1">
        <w:t>(</w:t>
      </w:r>
      <w:r w:rsidR="00D85184" w:rsidRPr="008B10C1">
        <w:t>£</w:t>
      </w:r>
      <w:r w:rsidR="00D13CE0" w:rsidRPr="00CB1B58">
        <w:t>17.</w:t>
      </w:r>
      <w:r w:rsidR="00700A45">
        <w:t>17</w:t>
      </w:r>
      <w:r w:rsidR="004926C1">
        <w:t>3</w:t>
      </w:r>
      <w:r w:rsidR="00A52A82" w:rsidRPr="008B10C1">
        <w:t xml:space="preserve">m) </w:t>
      </w:r>
      <w:r w:rsidR="00564FB0" w:rsidRPr="008B10C1">
        <w:t>of which £</w:t>
      </w:r>
      <w:r w:rsidR="00700A45">
        <w:t>17.07</w:t>
      </w:r>
      <w:r w:rsidR="004926C1">
        <w:t>0</w:t>
      </w:r>
      <w:r w:rsidR="00564FB0" w:rsidRPr="008B10C1">
        <w:t xml:space="preserve">m is requested for slippage </w:t>
      </w:r>
      <w:r w:rsidR="00564FB0" w:rsidRPr="00700A45">
        <w:t>into 2018/19</w:t>
      </w:r>
      <w:r w:rsidR="008B10C1" w:rsidRPr="00CB1B58">
        <w:t xml:space="preserve"> </w:t>
      </w:r>
      <w:r w:rsidR="00700A45" w:rsidRPr="00CB1B58">
        <w:t>and (£0.103m) can be removed from the Capital Programme.</w:t>
      </w:r>
      <w:r w:rsidR="00700A45">
        <w:t xml:space="preserve"> </w:t>
      </w:r>
      <w:r w:rsidR="00A52A82" w:rsidRPr="008B10C1">
        <w:t>For the Housing Revenue Account</w:t>
      </w:r>
      <w:r w:rsidR="00564FB0" w:rsidRPr="008B10C1">
        <w:t>,</w:t>
      </w:r>
      <w:r w:rsidR="00D15EE6">
        <w:t xml:space="preserve"> </w:t>
      </w:r>
      <w:proofErr w:type="gramStart"/>
      <w:r w:rsidR="00564FB0" w:rsidRPr="008B10C1">
        <w:t>an</w:t>
      </w:r>
      <w:r w:rsidR="005330B4" w:rsidRPr="008B10C1">
        <w:t xml:space="preserve"> </w:t>
      </w:r>
      <w:r w:rsidR="00564FB0" w:rsidRPr="008B10C1">
        <w:t>underspend</w:t>
      </w:r>
      <w:proofErr w:type="gramEnd"/>
      <w:r w:rsidR="00564FB0" w:rsidRPr="008B10C1">
        <w:t xml:space="preserve"> of </w:t>
      </w:r>
      <w:r w:rsidR="00A52A82" w:rsidRPr="008B10C1">
        <w:t>(</w:t>
      </w:r>
      <w:r w:rsidR="00564FB0" w:rsidRPr="008B10C1">
        <w:t>£1</w:t>
      </w:r>
      <w:r w:rsidR="008B10C1" w:rsidRPr="00CB1B58">
        <w:t>6.569</w:t>
      </w:r>
      <w:r w:rsidR="00564FB0" w:rsidRPr="008B10C1">
        <w:t>m</w:t>
      </w:r>
      <w:r w:rsidR="00A52A82" w:rsidRPr="008B10C1">
        <w:t>)</w:t>
      </w:r>
      <w:r w:rsidR="00564FB0" w:rsidRPr="008B10C1">
        <w:t xml:space="preserve"> is forecast</w:t>
      </w:r>
      <w:r w:rsidR="008B10C1" w:rsidRPr="00CB1B58">
        <w:t xml:space="preserve"> of which £14.606m </w:t>
      </w:r>
      <w:r w:rsidR="00564FB0" w:rsidRPr="008B10C1">
        <w:t>is requested for slippage into 2018/19</w:t>
      </w:r>
      <w:r w:rsidR="008B10C1" w:rsidRPr="00CB1B58">
        <w:t xml:space="preserve"> and </w:t>
      </w:r>
      <w:r w:rsidR="00D15EE6">
        <w:t>(</w:t>
      </w:r>
      <w:r w:rsidR="008B10C1" w:rsidRPr="00CB1B58">
        <w:t>£1.964m</w:t>
      </w:r>
      <w:r w:rsidR="00D15EE6">
        <w:t>)</w:t>
      </w:r>
      <w:r w:rsidR="008B10C1" w:rsidRPr="00CB1B58">
        <w:t xml:space="preserve"> can be removed from the Capital Programme</w:t>
      </w:r>
      <w:r w:rsidR="00564FB0" w:rsidRPr="008B10C1">
        <w:t>.</w:t>
      </w:r>
    </w:p>
    <w:p w14:paraId="55278EF8" w14:textId="77777777" w:rsidR="00564FB0" w:rsidRDefault="00564FB0" w:rsidP="00404B4F">
      <w:pPr>
        <w:pStyle w:val="ListParagraph"/>
        <w:ind w:left="851"/>
        <w:jc w:val="both"/>
      </w:pPr>
    </w:p>
    <w:p w14:paraId="00CDE4A5" w14:textId="1871EFC7" w:rsidR="003D61E1" w:rsidRDefault="00EC0C4D" w:rsidP="00404B4F">
      <w:pPr>
        <w:spacing w:after="240"/>
        <w:ind w:left="709"/>
        <w:jc w:val="both"/>
      </w:pPr>
      <w:r w:rsidRPr="004049E4" w:rsidDel="00EC0C4D">
        <w:t xml:space="preserve"> </w:t>
      </w:r>
      <w:r w:rsidR="00953298">
        <w:t>(Please note</w:t>
      </w:r>
      <w:r w:rsidR="00D325FE">
        <w:t>,</w:t>
      </w:r>
      <w:r w:rsidR="00953298">
        <w:t xml:space="preserve"> </w:t>
      </w:r>
      <w:r w:rsidR="00D325FE">
        <w:t>all number in brackets relates to income/underspends)</w:t>
      </w:r>
    </w:p>
    <w:p w14:paraId="23D6EF29" w14:textId="660854B8" w:rsidR="00A54694" w:rsidRPr="00CC4A15" w:rsidRDefault="008717CF" w:rsidP="00061DF9">
      <w:pPr>
        <w:pStyle w:val="ListParagraph"/>
        <w:keepNext/>
        <w:ind w:left="780"/>
        <w:outlineLvl w:val="1"/>
        <w:rPr>
          <w:bCs/>
        </w:rPr>
      </w:pPr>
      <w:r>
        <w:rPr>
          <w:bCs/>
        </w:rPr>
        <w:t xml:space="preserve">  </w:t>
      </w:r>
      <w:r w:rsidR="00D3333D">
        <w:rPr>
          <w:bCs/>
        </w:rPr>
        <w:t xml:space="preserve"> </w:t>
      </w:r>
    </w:p>
    <w:p w14:paraId="366A4BC4" w14:textId="61E500C1" w:rsidR="007D291B" w:rsidRDefault="00741AEB" w:rsidP="002311FF">
      <w:pPr>
        <w:pStyle w:val="ListParagraph"/>
        <w:keepNext/>
        <w:numPr>
          <w:ilvl w:val="2"/>
          <w:numId w:val="10"/>
        </w:numPr>
        <w:ind w:left="284" w:hanging="284"/>
        <w:outlineLvl w:val="1"/>
        <w:rPr>
          <w:rFonts w:cs="Arial"/>
          <w:b/>
          <w:bCs/>
          <w:kern w:val="32"/>
          <w:sz w:val="28"/>
          <w:szCs w:val="28"/>
          <w:u w:val="single"/>
        </w:rPr>
      </w:pPr>
      <w:r w:rsidRPr="00220F2C">
        <w:rPr>
          <w:rFonts w:cs="Arial"/>
          <w:b/>
          <w:bCs/>
          <w:kern w:val="32"/>
          <w:sz w:val="28"/>
          <w:szCs w:val="28"/>
          <w:u w:val="single"/>
        </w:rPr>
        <w:t>REVENUE MONITORING</w:t>
      </w:r>
    </w:p>
    <w:p w14:paraId="2A51DC8D" w14:textId="77777777" w:rsidR="004D4468" w:rsidRDefault="004D4468" w:rsidP="002F46B7">
      <w:pPr>
        <w:ind w:left="862"/>
        <w:jc w:val="both"/>
        <w:rPr>
          <w:bCs/>
        </w:rPr>
      </w:pPr>
    </w:p>
    <w:p w14:paraId="621D2C0D" w14:textId="5D15230F" w:rsidR="00D258AC" w:rsidRDefault="004D4468" w:rsidP="008F1A2F">
      <w:pPr>
        <w:tabs>
          <w:tab w:val="left" w:pos="709"/>
        </w:tabs>
        <w:ind w:left="708" w:hanging="708"/>
        <w:jc w:val="both"/>
        <w:rPr>
          <w:bCs/>
        </w:rPr>
      </w:pPr>
      <w:r w:rsidRPr="008F1A2F">
        <w:rPr>
          <w:bCs/>
        </w:rPr>
        <w:t>2.1</w:t>
      </w:r>
      <w:r w:rsidRPr="008F1A2F">
        <w:rPr>
          <w:bCs/>
        </w:rPr>
        <w:tab/>
      </w:r>
      <w:r w:rsidR="002F46B7" w:rsidRPr="008F1A2F">
        <w:rPr>
          <w:bCs/>
        </w:rPr>
        <w:t xml:space="preserve">The </w:t>
      </w:r>
      <w:r w:rsidR="00462020" w:rsidRPr="008F1A2F">
        <w:rPr>
          <w:bCs/>
        </w:rPr>
        <w:t>r</w:t>
      </w:r>
      <w:r w:rsidR="00DD3C11" w:rsidRPr="008F1A2F">
        <w:rPr>
          <w:bCs/>
        </w:rPr>
        <w:t xml:space="preserve">evenue forecast position </w:t>
      </w:r>
      <w:r w:rsidR="002F46B7" w:rsidRPr="008F1A2F">
        <w:rPr>
          <w:bCs/>
        </w:rPr>
        <w:t xml:space="preserve">at </w:t>
      </w:r>
      <w:r w:rsidR="00A66EE4" w:rsidRPr="008F1A2F">
        <w:rPr>
          <w:bCs/>
        </w:rPr>
        <w:t>Quarter</w:t>
      </w:r>
      <w:r w:rsidR="00221287" w:rsidRPr="008F1A2F">
        <w:rPr>
          <w:bCs/>
        </w:rPr>
        <w:t xml:space="preserve"> </w:t>
      </w:r>
      <w:r w:rsidR="006A633C" w:rsidRPr="008F1A2F">
        <w:rPr>
          <w:bCs/>
        </w:rPr>
        <w:t>2</w:t>
      </w:r>
      <w:r w:rsidR="00221287" w:rsidRPr="008F1A2F">
        <w:rPr>
          <w:bCs/>
        </w:rPr>
        <w:t xml:space="preserve"> </w:t>
      </w:r>
      <w:r w:rsidR="00061DF9" w:rsidRPr="008F1A2F">
        <w:rPr>
          <w:bCs/>
        </w:rPr>
        <w:t>(</w:t>
      </w:r>
      <w:r w:rsidR="00290F93" w:rsidRPr="008F1A2F">
        <w:rPr>
          <w:bCs/>
        </w:rPr>
        <w:t>3</w:t>
      </w:r>
      <w:r w:rsidR="00A66EE4" w:rsidRPr="008F1A2F">
        <w:rPr>
          <w:bCs/>
        </w:rPr>
        <w:t>0</w:t>
      </w:r>
      <w:r w:rsidR="00A66EE4" w:rsidRPr="008F1A2F">
        <w:rPr>
          <w:bCs/>
          <w:vertAlign w:val="superscript"/>
        </w:rPr>
        <w:t>th</w:t>
      </w:r>
      <w:r w:rsidR="00A66EE4" w:rsidRPr="008F1A2F">
        <w:rPr>
          <w:bCs/>
        </w:rPr>
        <w:t xml:space="preserve"> </w:t>
      </w:r>
      <w:r w:rsidR="006A633C" w:rsidRPr="008F1A2F">
        <w:rPr>
          <w:bCs/>
        </w:rPr>
        <w:t>September</w:t>
      </w:r>
      <w:r w:rsidR="00061DF9" w:rsidRPr="008F1A2F">
        <w:rPr>
          <w:bCs/>
        </w:rPr>
        <w:t xml:space="preserve"> 2017) </w:t>
      </w:r>
      <w:r w:rsidR="002F46B7" w:rsidRPr="008F1A2F">
        <w:rPr>
          <w:bCs/>
        </w:rPr>
        <w:t xml:space="preserve">is </w:t>
      </w:r>
      <w:r w:rsidR="00C8079C" w:rsidRPr="008F1A2F">
        <w:rPr>
          <w:bCs/>
        </w:rPr>
        <w:t xml:space="preserve">showing </w:t>
      </w:r>
      <w:r w:rsidR="00DA71DF" w:rsidRPr="008F1A2F">
        <w:rPr>
          <w:bCs/>
        </w:rPr>
        <w:t xml:space="preserve">a balanced position </w:t>
      </w:r>
      <w:r w:rsidR="002F46B7" w:rsidRPr="008F1A2F">
        <w:rPr>
          <w:bCs/>
        </w:rPr>
        <w:t>a</w:t>
      </w:r>
      <w:r w:rsidR="00A95580" w:rsidRPr="008F1A2F">
        <w:rPr>
          <w:bCs/>
        </w:rPr>
        <w:t xml:space="preserve">fter a </w:t>
      </w:r>
      <w:r w:rsidR="002F46B7" w:rsidRPr="008F1A2F">
        <w:rPr>
          <w:bCs/>
        </w:rPr>
        <w:t>draw down from reserve</w:t>
      </w:r>
      <w:r w:rsidR="00B40A0E" w:rsidRPr="008F1A2F">
        <w:rPr>
          <w:bCs/>
        </w:rPr>
        <w:t>s</w:t>
      </w:r>
      <w:r w:rsidR="002F46B7" w:rsidRPr="008F1A2F">
        <w:rPr>
          <w:bCs/>
        </w:rPr>
        <w:t xml:space="preserve"> of £</w:t>
      </w:r>
      <w:r w:rsidR="00A95580" w:rsidRPr="008F1A2F">
        <w:rPr>
          <w:bCs/>
        </w:rPr>
        <w:t>2.4</w:t>
      </w:r>
      <w:r w:rsidR="00765CF7" w:rsidRPr="008F1A2F">
        <w:rPr>
          <w:bCs/>
        </w:rPr>
        <w:t>7</w:t>
      </w:r>
      <w:r w:rsidR="00A95580" w:rsidRPr="008F1A2F">
        <w:rPr>
          <w:bCs/>
        </w:rPr>
        <w:t>4</w:t>
      </w:r>
      <w:r w:rsidR="002F46B7" w:rsidRPr="008F1A2F">
        <w:rPr>
          <w:bCs/>
        </w:rPr>
        <w:t>m</w:t>
      </w:r>
      <w:r w:rsidR="000C4E78" w:rsidRPr="008F1A2F">
        <w:rPr>
          <w:bCs/>
        </w:rPr>
        <w:t xml:space="preserve"> (mainly to fund redundancy cost</w:t>
      </w:r>
      <w:r w:rsidR="0013304F" w:rsidRPr="008F1A2F">
        <w:rPr>
          <w:bCs/>
        </w:rPr>
        <w:t>s</w:t>
      </w:r>
      <w:r w:rsidR="000C4E78" w:rsidRPr="008F1A2F">
        <w:rPr>
          <w:bCs/>
        </w:rPr>
        <w:t>)</w:t>
      </w:r>
      <w:r w:rsidR="00462020" w:rsidRPr="008F1A2F">
        <w:rPr>
          <w:bCs/>
        </w:rPr>
        <w:t>,</w:t>
      </w:r>
      <w:r w:rsidR="003D61E1" w:rsidRPr="008F1A2F">
        <w:rPr>
          <w:bCs/>
        </w:rPr>
        <w:t xml:space="preserve"> as detaile</w:t>
      </w:r>
      <w:r w:rsidR="00D71F83" w:rsidRPr="008F1A2F">
        <w:rPr>
          <w:bCs/>
        </w:rPr>
        <w:t>d in appendix 3</w:t>
      </w:r>
      <w:r w:rsidR="00007960" w:rsidRPr="008F1A2F">
        <w:rPr>
          <w:bCs/>
        </w:rPr>
        <w:t>, the</w:t>
      </w:r>
      <w:r w:rsidR="002F46B7" w:rsidRPr="008F1A2F">
        <w:rPr>
          <w:bCs/>
        </w:rPr>
        <w:t xml:space="preserve"> use of </w:t>
      </w:r>
      <w:r w:rsidR="007F43DF" w:rsidRPr="008F1A2F">
        <w:rPr>
          <w:bCs/>
        </w:rPr>
        <w:t>C</w:t>
      </w:r>
      <w:r w:rsidR="002F46B7" w:rsidRPr="008F1A2F">
        <w:rPr>
          <w:bCs/>
        </w:rPr>
        <w:t>orporate budget</w:t>
      </w:r>
      <w:r w:rsidR="00462020" w:rsidRPr="008F1A2F">
        <w:rPr>
          <w:bCs/>
        </w:rPr>
        <w:t>s</w:t>
      </w:r>
      <w:r w:rsidR="002F46B7" w:rsidRPr="008F1A2F">
        <w:rPr>
          <w:bCs/>
        </w:rPr>
        <w:t xml:space="preserve"> of £</w:t>
      </w:r>
      <w:r w:rsidR="00AF5EBA" w:rsidRPr="008F1A2F">
        <w:rPr>
          <w:bCs/>
        </w:rPr>
        <w:t>2.</w:t>
      </w:r>
      <w:r w:rsidR="0021608E" w:rsidRPr="008F1A2F">
        <w:rPr>
          <w:bCs/>
        </w:rPr>
        <w:t>555</w:t>
      </w:r>
      <w:r w:rsidR="002F46B7" w:rsidRPr="008F1A2F">
        <w:rPr>
          <w:bCs/>
        </w:rPr>
        <w:t>m</w:t>
      </w:r>
      <w:r w:rsidR="00C8079C" w:rsidRPr="008F1A2F">
        <w:rPr>
          <w:bCs/>
        </w:rPr>
        <w:t xml:space="preserve"> and £1.</w:t>
      </w:r>
      <w:r w:rsidR="00A66EE4" w:rsidRPr="008F1A2F">
        <w:rPr>
          <w:bCs/>
        </w:rPr>
        <w:t>325</w:t>
      </w:r>
      <w:r w:rsidR="00C8079C" w:rsidRPr="008F1A2F">
        <w:rPr>
          <w:bCs/>
        </w:rPr>
        <w:t>m of spending controls</w:t>
      </w:r>
      <w:r w:rsidR="00D258AC" w:rsidRPr="008F1A2F">
        <w:rPr>
          <w:bCs/>
        </w:rPr>
        <w:t>.</w:t>
      </w:r>
      <w:r w:rsidR="00061DF9" w:rsidRPr="008F1A2F">
        <w:rPr>
          <w:bCs/>
        </w:rPr>
        <w:t xml:space="preserve"> </w:t>
      </w:r>
      <w:r w:rsidR="004B3306" w:rsidRPr="008F1A2F">
        <w:rPr>
          <w:bCs/>
        </w:rPr>
        <w:t>The forecast</w:t>
      </w:r>
      <w:r w:rsidR="00061DF9" w:rsidRPr="008F1A2F">
        <w:rPr>
          <w:bCs/>
        </w:rPr>
        <w:t xml:space="preserve"> by</w:t>
      </w:r>
      <w:r w:rsidR="00D71F83" w:rsidRPr="008F1A2F">
        <w:rPr>
          <w:bCs/>
        </w:rPr>
        <w:t xml:space="preserve"> di</w:t>
      </w:r>
      <w:r w:rsidR="00072547" w:rsidRPr="008F1A2F">
        <w:rPr>
          <w:bCs/>
        </w:rPr>
        <w:t xml:space="preserve">vision is detailed in </w:t>
      </w:r>
      <w:r w:rsidR="009D39DA" w:rsidRPr="008F1A2F">
        <w:rPr>
          <w:bCs/>
        </w:rPr>
        <w:t>A</w:t>
      </w:r>
      <w:r w:rsidR="00072547" w:rsidRPr="008F1A2F">
        <w:rPr>
          <w:bCs/>
        </w:rPr>
        <w:t>ppendix 1</w:t>
      </w:r>
      <w:r w:rsidR="00D71F83" w:rsidRPr="008F1A2F">
        <w:rPr>
          <w:bCs/>
        </w:rPr>
        <w:t>.</w:t>
      </w:r>
    </w:p>
    <w:p w14:paraId="0A8FC759" w14:textId="77777777" w:rsidR="004D4468" w:rsidRPr="00F92234" w:rsidRDefault="004D4468" w:rsidP="008F1A2F">
      <w:pPr>
        <w:tabs>
          <w:tab w:val="left" w:pos="709"/>
        </w:tabs>
        <w:ind w:left="708" w:hanging="708"/>
        <w:jc w:val="both"/>
      </w:pPr>
    </w:p>
    <w:p w14:paraId="533CC887" w14:textId="42B3E61D" w:rsidR="002962D7" w:rsidRPr="0013304F" w:rsidRDefault="004D4468" w:rsidP="008F1A2F">
      <w:pPr>
        <w:ind w:left="709" w:hanging="709"/>
        <w:jc w:val="both"/>
      </w:pPr>
      <w:r>
        <w:rPr>
          <w:bCs/>
        </w:rPr>
        <w:t>2.2</w:t>
      </w:r>
      <w:r>
        <w:rPr>
          <w:bCs/>
        </w:rPr>
        <w:tab/>
      </w:r>
      <w:r w:rsidR="00AF5EBA" w:rsidRPr="008F1A2F">
        <w:rPr>
          <w:bCs/>
        </w:rPr>
        <w:t xml:space="preserve">Assumed in the balanced position above is </w:t>
      </w:r>
      <w:r w:rsidR="009102CE" w:rsidRPr="008F1A2F">
        <w:rPr>
          <w:bCs/>
        </w:rPr>
        <w:t xml:space="preserve">the use of </w:t>
      </w:r>
      <w:r w:rsidR="009A3522" w:rsidRPr="008F1A2F">
        <w:rPr>
          <w:bCs/>
        </w:rPr>
        <w:t xml:space="preserve">£3.039m </w:t>
      </w:r>
      <w:r w:rsidR="00AF5EBA" w:rsidRPr="008F1A2F">
        <w:rPr>
          <w:bCs/>
        </w:rPr>
        <w:t xml:space="preserve">of </w:t>
      </w:r>
      <w:r w:rsidR="009A3522" w:rsidRPr="008F1A2F">
        <w:rPr>
          <w:bCs/>
        </w:rPr>
        <w:t xml:space="preserve">capital receipts </w:t>
      </w:r>
      <w:r w:rsidR="009102CE" w:rsidRPr="008F1A2F">
        <w:rPr>
          <w:bCs/>
        </w:rPr>
        <w:t xml:space="preserve">flexibilities </w:t>
      </w:r>
      <w:r w:rsidR="009A3522" w:rsidRPr="008F1A2F">
        <w:rPr>
          <w:bCs/>
        </w:rPr>
        <w:t>generated from assets disposals. Th</w:t>
      </w:r>
      <w:r w:rsidR="000C4E78" w:rsidRPr="008F1A2F">
        <w:rPr>
          <w:bCs/>
        </w:rPr>
        <w:t>ese are</w:t>
      </w:r>
      <w:r w:rsidR="009A3522" w:rsidRPr="008F1A2F">
        <w:rPr>
          <w:bCs/>
        </w:rPr>
        <w:t xml:space="preserve"> applied under the capital receipt flexibilities granted to Local Authorities by central government</w:t>
      </w:r>
      <w:r w:rsidR="0013304F" w:rsidRPr="008F1A2F">
        <w:rPr>
          <w:bCs/>
        </w:rPr>
        <w:t>.</w:t>
      </w:r>
      <w:r w:rsidR="009A3522" w:rsidRPr="008F1A2F">
        <w:rPr>
          <w:bCs/>
        </w:rPr>
        <w:t xml:space="preserve"> </w:t>
      </w:r>
    </w:p>
    <w:p w14:paraId="71909D4E" w14:textId="77777777" w:rsidR="0013304F" w:rsidRPr="00385924" w:rsidRDefault="0013304F" w:rsidP="00613368">
      <w:pPr>
        <w:pStyle w:val="ListParagraph"/>
        <w:ind w:left="851"/>
        <w:jc w:val="both"/>
      </w:pPr>
    </w:p>
    <w:p w14:paraId="142FD18E" w14:textId="1D7855CB" w:rsidR="00262389" w:rsidRDefault="004D4468" w:rsidP="008F1A2F">
      <w:pPr>
        <w:ind w:right="185"/>
        <w:jc w:val="both"/>
      </w:pPr>
      <w:r>
        <w:t>2.3</w:t>
      </w:r>
      <w:r>
        <w:tab/>
      </w:r>
      <w:r w:rsidR="001B7156">
        <w:t xml:space="preserve">A summary of the </w:t>
      </w:r>
      <w:r w:rsidR="00A66EE4">
        <w:t xml:space="preserve">Quarter </w:t>
      </w:r>
      <w:r w:rsidR="006A633C">
        <w:t>2</w:t>
      </w:r>
      <w:r w:rsidR="00B54070">
        <w:t xml:space="preserve"> monitoring is shown </w:t>
      </w:r>
      <w:proofErr w:type="gramStart"/>
      <w:r w:rsidR="00B54070">
        <w:t xml:space="preserve">in </w:t>
      </w:r>
      <w:r w:rsidR="00D325FE">
        <w:t xml:space="preserve"> </w:t>
      </w:r>
      <w:r w:rsidR="00B54070">
        <w:t>table</w:t>
      </w:r>
      <w:proofErr w:type="gramEnd"/>
      <w:r w:rsidR="006D5C47">
        <w:t xml:space="preserve"> 1</w:t>
      </w:r>
      <w:r w:rsidR="00B54070">
        <w:t xml:space="preserve"> below:</w:t>
      </w:r>
    </w:p>
    <w:p w14:paraId="08775D40" w14:textId="77777777" w:rsidR="007D291B" w:rsidRDefault="007D291B" w:rsidP="007D291B">
      <w:pPr>
        <w:pStyle w:val="ListParagraph"/>
        <w:ind w:left="689"/>
        <w:jc w:val="both"/>
      </w:pPr>
    </w:p>
    <w:p w14:paraId="6CF522C3" w14:textId="77777777" w:rsidR="00A52A82" w:rsidRDefault="00A52A82" w:rsidP="007D291B">
      <w:pPr>
        <w:pStyle w:val="ListParagraph"/>
        <w:ind w:left="689"/>
        <w:jc w:val="both"/>
      </w:pPr>
    </w:p>
    <w:p w14:paraId="1343943E" w14:textId="77777777" w:rsidR="00A52A82" w:rsidRDefault="00A52A82" w:rsidP="007D291B">
      <w:pPr>
        <w:pStyle w:val="ListParagraph"/>
        <w:ind w:left="689"/>
        <w:jc w:val="both"/>
      </w:pPr>
    </w:p>
    <w:p w14:paraId="229ADCAD" w14:textId="77777777" w:rsidR="00A52A82" w:rsidRDefault="00A52A82" w:rsidP="007D291B">
      <w:pPr>
        <w:pStyle w:val="ListParagraph"/>
        <w:ind w:left="689"/>
        <w:jc w:val="both"/>
      </w:pPr>
    </w:p>
    <w:p w14:paraId="2A109DA2" w14:textId="77777777" w:rsidR="00A52A82" w:rsidRDefault="00A52A82" w:rsidP="007D291B">
      <w:pPr>
        <w:pStyle w:val="ListParagraph"/>
        <w:ind w:left="689"/>
        <w:jc w:val="both"/>
      </w:pPr>
    </w:p>
    <w:p w14:paraId="5DAB1206" w14:textId="77777777" w:rsidR="0013304F" w:rsidRDefault="0013304F" w:rsidP="007D291B">
      <w:pPr>
        <w:pStyle w:val="ListParagraph"/>
        <w:ind w:left="689"/>
        <w:jc w:val="both"/>
      </w:pPr>
    </w:p>
    <w:p w14:paraId="06DF6299" w14:textId="77777777" w:rsidR="0013304F" w:rsidRDefault="0013304F" w:rsidP="007D291B">
      <w:pPr>
        <w:pStyle w:val="ListParagraph"/>
        <w:ind w:left="689"/>
        <w:jc w:val="both"/>
      </w:pPr>
    </w:p>
    <w:p w14:paraId="5A7C1FF3" w14:textId="77777777" w:rsidR="00A52A82" w:rsidRDefault="00A52A82" w:rsidP="007D291B">
      <w:pPr>
        <w:pStyle w:val="ListParagraph"/>
        <w:ind w:left="689"/>
        <w:jc w:val="both"/>
      </w:pPr>
    </w:p>
    <w:p w14:paraId="1ADCF8D2" w14:textId="00772530" w:rsidR="00741AEB" w:rsidRDefault="00DA71DF" w:rsidP="00777CCB">
      <w:pPr>
        <w:ind w:firstLine="709"/>
        <w:rPr>
          <w:rFonts w:cs="Arial"/>
          <w:b/>
          <w:u w:val="single"/>
        </w:rPr>
      </w:pPr>
      <w:r>
        <w:rPr>
          <w:rFonts w:cs="Arial"/>
          <w:b/>
          <w:u w:val="single"/>
        </w:rPr>
        <w:t xml:space="preserve">Table </w:t>
      </w:r>
      <w:r w:rsidR="00BC12ED">
        <w:rPr>
          <w:rFonts w:cs="Arial"/>
          <w:b/>
          <w:u w:val="single"/>
        </w:rPr>
        <w:t>1</w:t>
      </w:r>
      <w:r w:rsidR="00741AEB" w:rsidRPr="006B1DE1">
        <w:rPr>
          <w:rFonts w:cs="Arial"/>
          <w:b/>
          <w:u w:val="single"/>
        </w:rPr>
        <w:t xml:space="preserve">: Revenue Monitoring </w:t>
      </w:r>
      <w:proofErr w:type="gramStart"/>
      <w:r w:rsidR="00741AEB" w:rsidRPr="006B1DE1">
        <w:rPr>
          <w:rFonts w:cs="Arial"/>
          <w:b/>
          <w:u w:val="single"/>
        </w:rPr>
        <w:t xml:space="preserve">– </w:t>
      </w:r>
      <w:r w:rsidR="00290F93">
        <w:rPr>
          <w:rFonts w:cs="Arial"/>
          <w:b/>
          <w:u w:val="single"/>
        </w:rPr>
        <w:t xml:space="preserve"> as</w:t>
      </w:r>
      <w:proofErr w:type="gramEnd"/>
      <w:r w:rsidR="00290F93">
        <w:rPr>
          <w:rFonts w:cs="Arial"/>
          <w:b/>
          <w:u w:val="single"/>
        </w:rPr>
        <w:t xml:space="preserve"> at </w:t>
      </w:r>
      <w:r w:rsidR="003F0DB6">
        <w:rPr>
          <w:rFonts w:cs="Arial"/>
          <w:b/>
          <w:u w:val="single"/>
        </w:rPr>
        <w:t>30</w:t>
      </w:r>
      <w:r w:rsidR="003F0DB6" w:rsidRPr="00BB0A57">
        <w:rPr>
          <w:rFonts w:cs="Arial"/>
          <w:b/>
          <w:u w:val="single"/>
          <w:vertAlign w:val="superscript"/>
        </w:rPr>
        <w:t>th</w:t>
      </w:r>
      <w:r w:rsidR="003F0DB6">
        <w:rPr>
          <w:rFonts w:cs="Arial"/>
          <w:b/>
          <w:u w:val="single"/>
        </w:rPr>
        <w:t xml:space="preserve"> </w:t>
      </w:r>
      <w:r w:rsidR="006A633C">
        <w:rPr>
          <w:rFonts w:cs="Arial"/>
          <w:b/>
          <w:u w:val="single"/>
        </w:rPr>
        <w:t>September</w:t>
      </w:r>
      <w:r w:rsidR="003F0DB6">
        <w:rPr>
          <w:rFonts w:cs="Arial"/>
          <w:b/>
          <w:u w:val="single"/>
        </w:rPr>
        <w:t xml:space="preserve"> 2017 </w:t>
      </w:r>
      <w:r w:rsidR="00741AEB" w:rsidRPr="006B1DE1">
        <w:rPr>
          <w:rFonts w:cs="Arial"/>
          <w:b/>
          <w:u w:val="single"/>
        </w:rPr>
        <w:t xml:space="preserve"> </w:t>
      </w:r>
    </w:p>
    <w:p w14:paraId="152DF19E" w14:textId="19E9D20C" w:rsidR="00D97004" w:rsidRDefault="00445321" w:rsidP="00072547">
      <w:pPr>
        <w:ind w:firstLine="709"/>
        <w:rPr>
          <w:rFonts w:cs="Arial"/>
          <w:b/>
          <w:u w:val="single"/>
        </w:rPr>
      </w:pPr>
      <w:r w:rsidRPr="00445321">
        <w:rPr>
          <w:noProof/>
          <w:lang w:eastAsia="en-GB"/>
        </w:rPr>
        <w:drawing>
          <wp:inline distT="0" distB="0" distL="0" distR="0" wp14:anchorId="2A7B79DC" wp14:editId="4D8E6F66">
            <wp:extent cx="5219700" cy="3535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0970" cy="3536540"/>
                    </a:xfrm>
                    <a:prstGeom prst="rect">
                      <a:avLst/>
                    </a:prstGeom>
                    <a:noFill/>
                    <a:ln>
                      <a:noFill/>
                    </a:ln>
                  </pic:spPr>
                </pic:pic>
              </a:graphicData>
            </a:graphic>
          </wp:inline>
        </w:drawing>
      </w:r>
    </w:p>
    <w:p w14:paraId="6C903859" w14:textId="77777777" w:rsidR="00E07305" w:rsidRDefault="00E07305" w:rsidP="00072547">
      <w:pPr>
        <w:ind w:firstLine="709"/>
        <w:rPr>
          <w:rFonts w:cs="Arial"/>
          <w:b/>
          <w:u w:val="single"/>
        </w:rPr>
      </w:pPr>
    </w:p>
    <w:p w14:paraId="73CE90B6" w14:textId="77777777" w:rsidR="00E07305" w:rsidRDefault="00E07305" w:rsidP="00072547">
      <w:pPr>
        <w:ind w:firstLine="709"/>
        <w:rPr>
          <w:rFonts w:cs="Arial"/>
          <w:b/>
          <w:u w:val="single"/>
        </w:rPr>
      </w:pPr>
    </w:p>
    <w:p w14:paraId="48192011" w14:textId="3B1D8BD8" w:rsidR="00850216" w:rsidRDefault="00741AEB" w:rsidP="00CB1B58">
      <w:pPr>
        <w:spacing w:after="240"/>
        <w:ind w:right="488" w:firstLine="709"/>
        <w:jc w:val="both"/>
        <w:rPr>
          <w:b/>
          <w:u w:val="single"/>
        </w:rPr>
      </w:pPr>
      <w:r w:rsidRPr="008A73C4">
        <w:rPr>
          <w:b/>
          <w:u w:val="single"/>
        </w:rPr>
        <w:t>R</w:t>
      </w:r>
      <w:r w:rsidR="00D30E09">
        <w:rPr>
          <w:b/>
          <w:u w:val="single"/>
        </w:rPr>
        <w:t>ESOURCES</w:t>
      </w:r>
      <w:r w:rsidR="00DE139F">
        <w:rPr>
          <w:b/>
          <w:u w:val="single"/>
        </w:rPr>
        <w:t xml:space="preserve"> AND COMMERCIAL</w:t>
      </w:r>
    </w:p>
    <w:p w14:paraId="1618652B" w14:textId="430B7664" w:rsidR="001347B9" w:rsidRDefault="00520D2A" w:rsidP="00CB1B58">
      <w:pPr>
        <w:spacing w:after="240"/>
        <w:ind w:right="488" w:firstLine="720"/>
        <w:jc w:val="both"/>
        <w:rPr>
          <w:b/>
          <w:u w:val="single"/>
        </w:rPr>
      </w:pPr>
      <w:r>
        <w:rPr>
          <w:b/>
          <w:u w:val="single"/>
        </w:rPr>
        <w:t xml:space="preserve">Table </w:t>
      </w:r>
      <w:r w:rsidR="00BC12ED">
        <w:rPr>
          <w:b/>
          <w:u w:val="single"/>
        </w:rPr>
        <w:t>2</w:t>
      </w:r>
      <w:r w:rsidR="00DE139F">
        <w:rPr>
          <w:b/>
          <w:u w:val="single"/>
        </w:rPr>
        <w:t>:</w:t>
      </w:r>
      <w:r w:rsidR="001347B9" w:rsidRPr="00A533C8">
        <w:rPr>
          <w:b/>
          <w:u w:val="single"/>
        </w:rPr>
        <w:t xml:space="preserve"> Resources &amp; Commercial</w:t>
      </w:r>
      <w:r w:rsidR="00A533C8" w:rsidRPr="00A533C8">
        <w:rPr>
          <w:b/>
          <w:u w:val="single"/>
        </w:rPr>
        <w:t xml:space="preserve"> Variance</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724"/>
        <w:gridCol w:w="1724"/>
      </w:tblGrid>
      <w:tr w:rsidR="003F0DB6" w:rsidRPr="006F278D" w14:paraId="424AD183" w14:textId="3D2C6097" w:rsidTr="00CB1B58">
        <w:trPr>
          <w:trHeight w:val="654"/>
        </w:trPr>
        <w:tc>
          <w:tcPr>
            <w:tcW w:w="2226" w:type="dxa"/>
            <w:shd w:val="clear" w:color="auto" w:fill="auto"/>
          </w:tcPr>
          <w:p w14:paraId="1B6CCED8" w14:textId="5543F67D" w:rsidR="003F0DB6" w:rsidRPr="006F278D" w:rsidRDefault="00864530" w:rsidP="00BB0A57">
            <w:r>
              <w:t xml:space="preserve">      Quarter </w:t>
            </w:r>
            <w:r w:rsidR="00BF75ED">
              <w:t>2</w:t>
            </w:r>
          </w:p>
          <w:p w14:paraId="3847F489" w14:textId="0DDAD988" w:rsidR="003F0DB6" w:rsidRPr="006F278D" w:rsidRDefault="003F0DB6" w:rsidP="006F278D">
            <w:pPr>
              <w:jc w:val="center"/>
            </w:pPr>
            <w:r w:rsidRPr="006F278D">
              <w:t>Variance</w:t>
            </w:r>
          </w:p>
          <w:p w14:paraId="3B7CEADC" w14:textId="77777777" w:rsidR="003F0DB6" w:rsidRPr="006F278D" w:rsidRDefault="003F0DB6" w:rsidP="006F278D">
            <w:pPr>
              <w:jc w:val="center"/>
            </w:pPr>
            <w:r w:rsidRPr="006F278D">
              <w:t>£000</w:t>
            </w:r>
          </w:p>
        </w:tc>
        <w:tc>
          <w:tcPr>
            <w:tcW w:w="1724" w:type="dxa"/>
          </w:tcPr>
          <w:p w14:paraId="7B6FC7E3" w14:textId="509059F0" w:rsidR="003F0DB6" w:rsidRDefault="00BF75ED" w:rsidP="006F278D">
            <w:pPr>
              <w:jc w:val="center"/>
            </w:pPr>
            <w:r>
              <w:t>Quarter</w:t>
            </w:r>
            <w:r w:rsidR="00864530">
              <w:t xml:space="preserve"> </w:t>
            </w:r>
            <w:r>
              <w:t>1</w:t>
            </w:r>
            <w:r w:rsidR="00864530">
              <w:t xml:space="preserve"> Variance</w:t>
            </w:r>
          </w:p>
        </w:tc>
        <w:tc>
          <w:tcPr>
            <w:tcW w:w="1724" w:type="dxa"/>
          </w:tcPr>
          <w:p w14:paraId="6A825C0B" w14:textId="358BAAAE" w:rsidR="003F0DB6" w:rsidRDefault="00864530">
            <w:pPr>
              <w:jc w:val="center"/>
            </w:pPr>
            <w:r>
              <w:t xml:space="preserve">Movement between Quarter </w:t>
            </w:r>
            <w:r w:rsidR="00BF75ED">
              <w:t>2</w:t>
            </w:r>
            <w:r>
              <w:t xml:space="preserve"> and </w:t>
            </w:r>
            <w:r w:rsidR="00BF75ED">
              <w:t>Quarter 1</w:t>
            </w:r>
            <w:r>
              <w:t xml:space="preserve"> </w:t>
            </w:r>
          </w:p>
        </w:tc>
      </w:tr>
      <w:tr w:rsidR="003F0DB6" w:rsidRPr="006F278D" w14:paraId="02285F43" w14:textId="2611FBA6" w:rsidTr="00CB1B58">
        <w:trPr>
          <w:trHeight w:val="285"/>
        </w:trPr>
        <w:tc>
          <w:tcPr>
            <w:tcW w:w="2226" w:type="dxa"/>
            <w:shd w:val="clear" w:color="auto" w:fill="auto"/>
          </w:tcPr>
          <w:p w14:paraId="4B547564" w14:textId="4A1F956D" w:rsidR="003F0DB6" w:rsidRPr="006F278D" w:rsidRDefault="00BF75ED" w:rsidP="006F278D">
            <w:pPr>
              <w:jc w:val="center"/>
            </w:pPr>
            <w:r>
              <w:t>12</w:t>
            </w:r>
          </w:p>
        </w:tc>
        <w:tc>
          <w:tcPr>
            <w:tcW w:w="1724" w:type="dxa"/>
          </w:tcPr>
          <w:p w14:paraId="5D399F0B" w14:textId="38B443A0" w:rsidR="003F0DB6" w:rsidRPr="006F278D" w:rsidRDefault="00BF75ED" w:rsidP="006F278D">
            <w:pPr>
              <w:jc w:val="center"/>
            </w:pPr>
            <w:r>
              <w:t>-</w:t>
            </w:r>
          </w:p>
        </w:tc>
        <w:tc>
          <w:tcPr>
            <w:tcW w:w="1724" w:type="dxa"/>
          </w:tcPr>
          <w:p w14:paraId="1AEFC721" w14:textId="76932079" w:rsidR="003F0DB6" w:rsidRPr="006F278D" w:rsidRDefault="00BF75ED" w:rsidP="006F278D">
            <w:pPr>
              <w:jc w:val="center"/>
            </w:pPr>
            <w:r>
              <w:t>12</w:t>
            </w:r>
          </w:p>
        </w:tc>
      </w:tr>
    </w:tbl>
    <w:p w14:paraId="67480463" w14:textId="56156AD1" w:rsidR="008203D5" w:rsidRDefault="00521915" w:rsidP="00D645B0">
      <w:r>
        <w:tab/>
      </w:r>
    </w:p>
    <w:p w14:paraId="081125EB" w14:textId="1181F7C1" w:rsidR="00964C12" w:rsidRPr="00934C30" w:rsidRDefault="00D92878" w:rsidP="005163C5">
      <w:pPr>
        <w:pStyle w:val="ListParagraph"/>
        <w:numPr>
          <w:ilvl w:val="1"/>
          <w:numId w:val="70"/>
        </w:numPr>
        <w:spacing w:after="120"/>
        <w:ind w:left="567" w:hanging="567"/>
        <w:jc w:val="both"/>
        <w:rPr>
          <w:bCs/>
        </w:rPr>
      </w:pPr>
      <w:bookmarkStart w:id="1" w:name="_Toc372706214"/>
      <w:r w:rsidRPr="00CB1B58">
        <w:rPr>
          <w:bCs/>
        </w:rPr>
        <w:t xml:space="preserve">At Quarter </w:t>
      </w:r>
      <w:r w:rsidR="00D15EE6" w:rsidRPr="00CB1B58">
        <w:rPr>
          <w:bCs/>
        </w:rPr>
        <w:t>2</w:t>
      </w:r>
      <w:r w:rsidR="008D540C" w:rsidRPr="00CB1B58">
        <w:rPr>
          <w:bCs/>
        </w:rPr>
        <w:t xml:space="preserve"> Resources is forecasting </w:t>
      </w:r>
      <w:proofErr w:type="gramStart"/>
      <w:r w:rsidR="008D540C" w:rsidRPr="00CB1B58">
        <w:rPr>
          <w:bCs/>
        </w:rPr>
        <w:t>a</w:t>
      </w:r>
      <w:r w:rsidR="00BF75ED" w:rsidRPr="00CB1B58">
        <w:rPr>
          <w:bCs/>
        </w:rPr>
        <w:t>n overspend</w:t>
      </w:r>
      <w:proofErr w:type="gramEnd"/>
      <w:r w:rsidR="00BF75ED" w:rsidRPr="00CB1B58">
        <w:rPr>
          <w:bCs/>
        </w:rPr>
        <w:t xml:space="preserve"> of £12k for</w:t>
      </w:r>
      <w:r w:rsidR="008D540C" w:rsidRPr="00CB1B58">
        <w:rPr>
          <w:bCs/>
        </w:rPr>
        <w:t xml:space="preserve"> the </w:t>
      </w:r>
      <w:r w:rsidR="008815D5" w:rsidRPr="00CB1B58">
        <w:rPr>
          <w:bCs/>
        </w:rPr>
        <w:t xml:space="preserve">  </w:t>
      </w:r>
      <w:r w:rsidR="008D540C" w:rsidRPr="00CB1B58">
        <w:rPr>
          <w:bCs/>
        </w:rPr>
        <w:t xml:space="preserve">2017/18 financial year. This is after an assumed draw down from reserves of (£109k) as detailed in </w:t>
      </w:r>
      <w:r w:rsidR="000C4E78" w:rsidRPr="00CB1B58">
        <w:rPr>
          <w:bCs/>
        </w:rPr>
        <w:t>A</w:t>
      </w:r>
      <w:r w:rsidR="008D540C" w:rsidRPr="00CB1B58">
        <w:rPr>
          <w:bCs/>
        </w:rPr>
        <w:t>ppendix 3</w:t>
      </w:r>
      <w:r w:rsidR="008815D5" w:rsidRPr="00CB1B58">
        <w:rPr>
          <w:bCs/>
        </w:rPr>
        <w:t xml:space="preserve">. </w:t>
      </w:r>
    </w:p>
    <w:p w14:paraId="7E525059" w14:textId="54C16B63" w:rsidR="005E002A" w:rsidRDefault="005E002A" w:rsidP="00404B4F">
      <w:pPr>
        <w:pStyle w:val="ListParagraph"/>
        <w:spacing w:after="120"/>
        <w:ind w:left="567"/>
        <w:jc w:val="both"/>
        <w:rPr>
          <w:b/>
          <w:bCs/>
          <w:i/>
        </w:rPr>
      </w:pPr>
    </w:p>
    <w:p w14:paraId="430DB460" w14:textId="36E160C4" w:rsidR="00164CC6" w:rsidRPr="00964C12" w:rsidRDefault="00164CC6" w:rsidP="00404B4F">
      <w:pPr>
        <w:pStyle w:val="ListParagraph"/>
        <w:spacing w:after="120"/>
        <w:ind w:left="567"/>
        <w:jc w:val="both"/>
        <w:rPr>
          <w:b/>
          <w:bCs/>
          <w:i/>
        </w:rPr>
      </w:pPr>
      <w:r w:rsidRPr="00964C12">
        <w:rPr>
          <w:b/>
          <w:bCs/>
          <w:i/>
        </w:rPr>
        <w:t>Spending Control Freeze</w:t>
      </w:r>
    </w:p>
    <w:p w14:paraId="2FAFCEB8" w14:textId="36EEBDE2" w:rsidR="004A24EE" w:rsidRDefault="004A24EE">
      <w:pPr>
        <w:ind w:left="709" w:hanging="709"/>
        <w:jc w:val="both"/>
        <w:rPr>
          <w:bCs/>
        </w:rPr>
      </w:pPr>
      <w:r w:rsidRPr="00964C12">
        <w:rPr>
          <w:bCs/>
        </w:rPr>
        <w:t>2.</w:t>
      </w:r>
      <w:r w:rsidR="00964C12">
        <w:rPr>
          <w:bCs/>
        </w:rPr>
        <w:t>5</w:t>
      </w:r>
      <w:r w:rsidRPr="00964C12">
        <w:rPr>
          <w:bCs/>
        </w:rPr>
        <w:tab/>
      </w:r>
      <w:r w:rsidR="00164CC6" w:rsidRPr="00964C12">
        <w:rPr>
          <w:bCs/>
        </w:rPr>
        <w:t xml:space="preserve">The Resources &amp; Commercial </w:t>
      </w:r>
      <w:r w:rsidR="00182F02" w:rsidRPr="00964C12">
        <w:rPr>
          <w:bCs/>
        </w:rPr>
        <w:t>directorate is working towards identifying</w:t>
      </w:r>
      <w:r w:rsidR="00164CC6" w:rsidRPr="00964C12">
        <w:rPr>
          <w:bCs/>
        </w:rPr>
        <w:t xml:space="preserve"> a number of in-year items to contribute towards the requested spending freeze</w:t>
      </w:r>
      <w:r w:rsidR="008D3348" w:rsidRPr="00964C12">
        <w:rPr>
          <w:bCs/>
        </w:rPr>
        <w:t xml:space="preserve"> across the C</w:t>
      </w:r>
      <w:r w:rsidR="00182F02" w:rsidRPr="00964C12">
        <w:rPr>
          <w:bCs/>
        </w:rPr>
        <w:t xml:space="preserve">ouncil. Proposed </w:t>
      </w:r>
      <w:r w:rsidR="00164CC6" w:rsidRPr="00964C12">
        <w:rPr>
          <w:bCs/>
        </w:rPr>
        <w:t>items include underspends of budgets from current</w:t>
      </w:r>
      <w:r w:rsidR="00182F02" w:rsidRPr="00964C12">
        <w:rPr>
          <w:bCs/>
        </w:rPr>
        <w:t xml:space="preserve"> vacant staff posts, </w:t>
      </w:r>
      <w:r w:rsidR="00164CC6" w:rsidRPr="00964C12">
        <w:rPr>
          <w:bCs/>
        </w:rPr>
        <w:t>overachievement of income</w:t>
      </w:r>
      <w:r w:rsidRPr="00964C12">
        <w:rPr>
          <w:bCs/>
        </w:rPr>
        <w:t xml:space="preserve"> and</w:t>
      </w:r>
      <w:r w:rsidR="00164CC6" w:rsidRPr="00964C12">
        <w:rPr>
          <w:bCs/>
        </w:rPr>
        <w:t xml:space="preserve"> contract </w:t>
      </w:r>
      <w:r w:rsidR="00164CC6" w:rsidRPr="009F4A02">
        <w:rPr>
          <w:bCs/>
        </w:rPr>
        <w:t>efficiency savings</w:t>
      </w:r>
      <w:r w:rsidRPr="009F4A02">
        <w:rPr>
          <w:bCs/>
        </w:rPr>
        <w:t>.</w:t>
      </w:r>
      <w:r w:rsidR="00164CC6" w:rsidRPr="00404B4F">
        <w:rPr>
          <w:bCs/>
        </w:rPr>
        <w:t xml:space="preserve"> </w:t>
      </w:r>
      <w:r w:rsidR="000C4E78">
        <w:rPr>
          <w:bCs/>
        </w:rPr>
        <w:t>It is forecast that £475k savings will be achieved by the end of the financial year.</w:t>
      </w:r>
    </w:p>
    <w:p w14:paraId="63794DB9" w14:textId="77777777" w:rsidR="004A24EE" w:rsidRDefault="004A24EE" w:rsidP="00404B4F">
      <w:pPr>
        <w:ind w:left="851" w:hanging="851"/>
        <w:rPr>
          <w:bCs/>
        </w:rPr>
      </w:pPr>
    </w:p>
    <w:p w14:paraId="48D813F2" w14:textId="77777777" w:rsidR="003C379B" w:rsidRDefault="003C379B" w:rsidP="00404B4F">
      <w:pPr>
        <w:ind w:left="851" w:hanging="851"/>
        <w:rPr>
          <w:bCs/>
        </w:rPr>
      </w:pPr>
    </w:p>
    <w:p w14:paraId="42D64912" w14:textId="77777777" w:rsidR="0013304F" w:rsidRDefault="0013304F" w:rsidP="00404B4F">
      <w:pPr>
        <w:ind w:left="851" w:hanging="851"/>
        <w:rPr>
          <w:bCs/>
        </w:rPr>
      </w:pPr>
    </w:p>
    <w:p w14:paraId="31BE07F0" w14:textId="77777777" w:rsidR="0013304F" w:rsidRDefault="0013304F" w:rsidP="00404B4F">
      <w:pPr>
        <w:ind w:left="851" w:hanging="851"/>
        <w:rPr>
          <w:bCs/>
        </w:rPr>
      </w:pPr>
    </w:p>
    <w:p w14:paraId="62435834" w14:textId="77777777" w:rsidR="0013304F" w:rsidRDefault="0013304F" w:rsidP="00404B4F">
      <w:pPr>
        <w:ind w:left="851" w:hanging="851"/>
        <w:rPr>
          <w:bCs/>
        </w:rPr>
      </w:pPr>
    </w:p>
    <w:p w14:paraId="4DB7FAE7" w14:textId="77777777" w:rsidR="00E07305" w:rsidRPr="00404B4F" w:rsidRDefault="00E07305" w:rsidP="00404B4F">
      <w:pPr>
        <w:ind w:left="851" w:hanging="851"/>
      </w:pPr>
    </w:p>
    <w:p w14:paraId="597D3E42" w14:textId="2E2B0C48" w:rsidR="0065397E" w:rsidRDefault="000E70F4" w:rsidP="00CB1B58">
      <w:pPr>
        <w:pStyle w:val="ListParagraph"/>
        <w:spacing w:after="240"/>
        <w:ind w:left="0" w:firstLine="709"/>
        <w:jc w:val="both"/>
        <w:rPr>
          <w:b/>
          <w:u w:val="single"/>
        </w:rPr>
      </w:pPr>
      <w:r w:rsidRPr="00E210B9">
        <w:rPr>
          <w:b/>
          <w:u w:val="single"/>
        </w:rPr>
        <w:t>C</w:t>
      </w:r>
      <w:r w:rsidR="0065397E" w:rsidRPr="00E210B9">
        <w:rPr>
          <w:b/>
          <w:u w:val="single"/>
        </w:rPr>
        <w:t>OMMUNITY DIRECTORATE</w:t>
      </w:r>
    </w:p>
    <w:p w14:paraId="49616872" w14:textId="1B419626" w:rsidR="00964C12" w:rsidRDefault="00964C12" w:rsidP="005163C5">
      <w:pPr>
        <w:pStyle w:val="ListParagraph"/>
        <w:ind w:left="0"/>
        <w:jc w:val="both"/>
        <w:rPr>
          <w:b/>
          <w:u w:val="single"/>
        </w:rPr>
      </w:pPr>
      <w:r w:rsidRPr="00CB1B58">
        <w:rPr>
          <w:b/>
        </w:rPr>
        <w:tab/>
      </w:r>
      <w:r>
        <w:rPr>
          <w:b/>
          <w:u w:val="single"/>
        </w:rPr>
        <w:t>Table 3: Community Variance</w:t>
      </w:r>
    </w:p>
    <w:tbl>
      <w:tblPr>
        <w:tblpPr w:leftFromText="180" w:rightFromText="180" w:vertAnchor="text" w:horzAnchor="margin" w:tblpXSpec="center" w:tblpY="447"/>
        <w:tblW w:w="6948" w:type="dxa"/>
        <w:tblLook w:val="04A0" w:firstRow="1" w:lastRow="0" w:firstColumn="1" w:lastColumn="0" w:noHBand="0" w:noVBand="1"/>
      </w:tblPr>
      <w:tblGrid>
        <w:gridCol w:w="2388"/>
        <w:gridCol w:w="1527"/>
        <w:gridCol w:w="1119"/>
        <w:gridCol w:w="1914"/>
      </w:tblGrid>
      <w:tr w:rsidR="00964C12" w:rsidRPr="00690541" w14:paraId="48A4E349" w14:textId="77777777" w:rsidTr="00964C12">
        <w:trPr>
          <w:trHeight w:val="752"/>
        </w:trPr>
        <w:tc>
          <w:tcPr>
            <w:tcW w:w="2388" w:type="dxa"/>
            <w:tcBorders>
              <w:top w:val="single" w:sz="8" w:space="0" w:color="auto"/>
              <w:left w:val="single" w:sz="8" w:space="0" w:color="auto"/>
              <w:bottom w:val="nil"/>
              <w:right w:val="nil"/>
            </w:tcBorders>
            <w:shd w:val="clear" w:color="auto" w:fill="auto"/>
            <w:vAlign w:val="bottom"/>
            <w:hideMark/>
          </w:tcPr>
          <w:p w14:paraId="47776F00" w14:textId="77777777" w:rsidR="00964C12" w:rsidRPr="00690541" w:rsidRDefault="00964C12" w:rsidP="00964C12">
            <w:pPr>
              <w:rPr>
                <w:rFonts w:cs="Arial"/>
                <w:sz w:val="20"/>
                <w:lang w:eastAsia="en-GB"/>
              </w:rPr>
            </w:pPr>
            <w:r w:rsidRPr="00690541">
              <w:rPr>
                <w:rFonts w:cs="Arial"/>
                <w:sz w:val="20"/>
                <w:lang w:eastAsia="en-GB"/>
              </w:rPr>
              <w:t> </w:t>
            </w:r>
          </w:p>
        </w:tc>
        <w:tc>
          <w:tcPr>
            <w:tcW w:w="1527"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4BEA3288" w14:textId="77777777" w:rsidR="00964C12" w:rsidRPr="00690541" w:rsidRDefault="00964C12" w:rsidP="00964C12">
            <w:pPr>
              <w:rPr>
                <w:rFonts w:cs="Arial"/>
                <w:sz w:val="20"/>
                <w:lang w:eastAsia="en-GB"/>
              </w:rPr>
            </w:pPr>
            <w:r w:rsidRPr="00690541">
              <w:rPr>
                <w:rFonts w:cs="Arial"/>
                <w:sz w:val="20"/>
                <w:lang w:eastAsia="en-GB"/>
              </w:rPr>
              <w:t>Quarter 2 Variance</w:t>
            </w:r>
          </w:p>
        </w:tc>
        <w:tc>
          <w:tcPr>
            <w:tcW w:w="1119" w:type="dxa"/>
            <w:tcBorders>
              <w:top w:val="single" w:sz="8" w:space="0" w:color="auto"/>
              <w:left w:val="nil"/>
              <w:bottom w:val="single" w:sz="4" w:space="0" w:color="auto"/>
              <w:right w:val="single" w:sz="4" w:space="0" w:color="auto"/>
            </w:tcBorders>
            <w:shd w:val="clear" w:color="auto" w:fill="auto"/>
            <w:vAlign w:val="bottom"/>
            <w:hideMark/>
          </w:tcPr>
          <w:p w14:paraId="72A17BF2" w14:textId="77777777" w:rsidR="00964C12" w:rsidRPr="00690541" w:rsidRDefault="00964C12" w:rsidP="00964C12">
            <w:pPr>
              <w:rPr>
                <w:rFonts w:cs="Arial"/>
                <w:sz w:val="20"/>
                <w:lang w:eastAsia="en-GB"/>
              </w:rPr>
            </w:pPr>
            <w:r w:rsidRPr="00690541">
              <w:rPr>
                <w:rFonts w:cs="Arial"/>
                <w:sz w:val="20"/>
                <w:lang w:eastAsia="en-GB"/>
              </w:rPr>
              <w:t>Quarter 1 variance</w:t>
            </w:r>
          </w:p>
        </w:tc>
        <w:tc>
          <w:tcPr>
            <w:tcW w:w="1914" w:type="dxa"/>
            <w:tcBorders>
              <w:top w:val="single" w:sz="8" w:space="0" w:color="auto"/>
              <w:left w:val="nil"/>
              <w:bottom w:val="single" w:sz="4" w:space="0" w:color="auto"/>
              <w:right w:val="single" w:sz="8" w:space="0" w:color="auto"/>
            </w:tcBorders>
            <w:shd w:val="clear" w:color="auto" w:fill="auto"/>
            <w:vAlign w:val="bottom"/>
            <w:hideMark/>
          </w:tcPr>
          <w:p w14:paraId="381CEC60" w14:textId="77777777" w:rsidR="00964C12" w:rsidRPr="00690541" w:rsidRDefault="00964C12" w:rsidP="00964C12">
            <w:pPr>
              <w:rPr>
                <w:rFonts w:cs="Arial"/>
                <w:sz w:val="20"/>
                <w:lang w:eastAsia="en-GB"/>
              </w:rPr>
            </w:pPr>
            <w:r w:rsidRPr="00690541">
              <w:rPr>
                <w:rFonts w:cs="Arial"/>
                <w:sz w:val="20"/>
                <w:lang w:eastAsia="en-GB"/>
              </w:rPr>
              <w:t>Movement between Quarter 2 and Quarter 1</w:t>
            </w:r>
          </w:p>
        </w:tc>
      </w:tr>
      <w:tr w:rsidR="00964C12" w:rsidRPr="00690541" w14:paraId="54264512" w14:textId="77777777" w:rsidTr="00964C12">
        <w:trPr>
          <w:trHeight w:val="251"/>
        </w:trPr>
        <w:tc>
          <w:tcPr>
            <w:tcW w:w="2388" w:type="dxa"/>
            <w:tcBorders>
              <w:top w:val="nil"/>
              <w:left w:val="single" w:sz="8" w:space="0" w:color="auto"/>
              <w:bottom w:val="nil"/>
              <w:right w:val="nil"/>
            </w:tcBorders>
            <w:shd w:val="clear" w:color="auto" w:fill="auto"/>
            <w:vAlign w:val="bottom"/>
            <w:hideMark/>
          </w:tcPr>
          <w:p w14:paraId="78B03B23" w14:textId="77777777" w:rsidR="00964C12" w:rsidRPr="00690541" w:rsidRDefault="00964C12" w:rsidP="00964C12">
            <w:pPr>
              <w:rPr>
                <w:rFonts w:cs="Arial"/>
                <w:sz w:val="20"/>
                <w:lang w:eastAsia="en-GB"/>
              </w:rPr>
            </w:pPr>
            <w:r w:rsidRPr="00690541">
              <w:rPr>
                <w:rFonts w:cs="Arial"/>
                <w:sz w:val="20"/>
                <w:lang w:eastAsia="en-GB"/>
              </w:rPr>
              <w:t> </w:t>
            </w:r>
          </w:p>
        </w:tc>
        <w:tc>
          <w:tcPr>
            <w:tcW w:w="1527" w:type="dxa"/>
            <w:tcBorders>
              <w:top w:val="nil"/>
              <w:left w:val="single" w:sz="4" w:space="0" w:color="auto"/>
              <w:bottom w:val="nil"/>
              <w:right w:val="single" w:sz="4" w:space="0" w:color="auto"/>
            </w:tcBorders>
            <w:shd w:val="clear" w:color="auto" w:fill="auto"/>
            <w:noWrap/>
            <w:vAlign w:val="bottom"/>
            <w:hideMark/>
          </w:tcPr>
          <w:p w14:paraId="1BD9A2D5" w14:textId="77777777" w:rsidR="00964C12" w:rsidRPr="00690541" w:rsidRDefault="00964C12" w:rsidP="00964C12">
            <w:pPr>
              <w:jc w:val="center"/>
              <w:rPr>
                <w:rFonts w:cs="Arial"/>
                <w:sz w:val="20"/>
                <w:lang w:eastAsia="en-GB"/>
              </w:rPr>
            </w:pPr>
            <w:r w:rsidRPr="00690541">
              <w:rPr>
                <w:rFonts w:cs="Arial"/>
                <w:sz w:val="20"/>
                <w:lang w:eastAsia="en-GB"/>
              </w:rPr>
              <w:t>£’000</w:t>
            </w:r>
          </w:p>
        </w:tc>
        <w:tc>
          <w:tcPr>
            <w:tcW w:w="1119" w:type="dxa"/>
            <w:tcBorders>
              <w:top w:val="nil"/>
              <w:left w:val="nil"/>
              <w:bottom w:val="nil"/>
              <w:right w:val="single" w:sz="4" w:space="0" w:color="auto"/>
            </w:tcBorders>
            <w:shd w:val="clear" w:color="auto" w:fill="auto"/>
            <w:noWrap/>
            <w:vAlign w:val="bottom"/>
            <w:hideMark/>
          </w:tcPr>
          <w:p w14:paraId="07487543" w14:textId="77777777" w:rsidR="00964C12" w:rsidRPr="00690541" w:rsidRDefault="00964C12" w:rsidP="00964C12">
            <w:pPr>
              <w:jc w:val="center"/>
              <w:rPr>
                <w:rFonts w:cs="Arial"/>
                <w:sz w:val="20"/>
                <w:lang w:eastAsia="en-GB"/>
              </w:rPr>
            </w:pPr>
            <w:r w:rsidRPr="00690541">
              <w:rPr>
                <w:rFonts w:cs="Arial"/>
                <w:sz w:val="20"/>
                <w:lang w:eastAsia="en-GB"/>
              </w:rPr>
              <w:t>£’000</w:t>
            </w:r>
          </w:p>
        </w:tc>
        <w:tc>
          <w:tcPr>
            <w:tcW w:w="1914" w:type="dxa"/>
            <w:tcBorders>
              <w:top w:val="nil"/>
              <w:left w:val="nil"/>
              <w:bottom w:val="nil"/>
              <w:right w:val="single" w:sz="8" w:space="0" w:color="auto"/>
            </w:tcBorders>
            <w:shd w:val="clear" w:color="auto" w:fill="auto"/>
            <w:noWrap/>
            <w:vAlign w:val="bottom"/>
            <w:hideMark/>
          </w:tcPr>
          <w:p w14:paraId="01C74171" w14:textId="77777777" w:rsidR="00964C12" w:rsidRPr="00690541" w:rsidRDefault="00964C12" w:rsidP="00964C12">
            <w:pPr>
              <w:jc w:val="center"/>
              <w:rPr>
                <w:rFonts w:cs="Arial"/>
                <w:sz w:val="20"/>
                <w:lang w:eastAsia="en-GB"/>
              </w:rPr>
            </w:pPr>
            <w:r w:rsidRPr="00690541">
              <w:rPr>
                <w:rFonts w:cs="Arial"/>
                <w:sz w:val="20"/>
                <w:lang w:eastAsia="en-GB"/>
              </w:rPr>
              <w:t>£’000</w:t>
            </w:r>
          </w:p>
        </w:tc>
      </w:tr>
      <w:tr w:rsidR="00964C12" w:rsidRPr="00690541" w14:paraId="32416E50" w14:textId="77777777" w:rsidTr="00964C12">
        <w:trPr>
          <w:trHeight w:val="1253"/>
        </w:trPr>
        <w:tc>
          <w:tcPr>
            <w:tcW w:w="238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B34A625" w14:textId="77777777" w:rsidR="00964C12" w:rsidRPr="00690541" w:rsidRDefault="00964C12" w:rsidP="00964C12">
            <w:pPr>
              <w:rPr>
                <w:rFonts w:cs="Arial"/>
                <w:color w:val="000000"/>
                <w:sz w:val="18"/>
                <w:szCs w:val="18"/>
                <w:lang w:eastAsia="en-GB"/>
              </w:rPr>
            </w:pPr>
            <w:r w:rsidRPr="00690541">
              <w:rPr>
                <w:rFonts w:cs="Arial"/>
                <w:color w:val="000000"/>
                <w:sz w:val="18"/>
                <w:szCs w:val="18"/>
                <w:lang w:eastAsia="en-GB"/>
              </w:rPr>
              <w:t xml:space="preserve">Commissioning &amp; Commercial Services, and Corporate Estate </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14:paraId="0DD6CBC9" w14:textId="77777777" w:rsidR="00964C12" w:rsidRPr="00690541" w:rsidRDefault="00964C12" w:rsidP="00964C12">
            <w:pPr>
              <w:jc w:val="center"/>
              <w:rPr>
                <w:rFonts w:cs="Arial"/>
                <w:sz w:val="20"/>
                <w:lang w:eastAsia="en-GB"/>
              </w:rPr>
            </w:pPr>
            <w:r w:rsidRPr="00690541">
              <w:rPr>
                <w:rFonts w:cs="Arial"/>
                <w:sz w:val="20"/>
                <w:lang w:eastAsia="en-GB"/>
              </w:rPr>
              <w:t>0</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0454988B" w14:textId="77777777" w:rsidR="00964C12" w:rsidRPr="00690541" w:rsidRDefault="00964C12" w:rsidP="00964C12">
            <w:pPr>
              <w:jc w:val="center"/>
              <w:rPr>
                <w:rFonts w:cs="Arial"/>
                <w:sz w:val="20"/>
                <w:lang w:eastAsia="en-GB"/>
              </w:rPr>
            </w:pPr>
            <w:r w:rsidRPr="00690541">
              <w:rPr>
                <w:rFonts w:cs="Arial"/>
                <w:sz w:val="20"/>
                <w:lang w:eastAsia="en-GB"/>
              </w:rPr>
              <w:t>0</w:t>
            </w:r>
          </w:p>
        </w:tc>
        <w:tc>
          <w:tcPr>
            <w:tcW w:w="1914" w:type="dxa"/>
            <w:tcBorders>
              <w:top w:val="single" w:sz="4" w:space="0" w:color="auto"/>
              <w:left w:val="nil"/>
              <w:bottom w:val="single" w:sz="4" w:space="0" w:color="auto"/>
              <w:right w:val="single" w:sz="8" w:space="0" w:color="auto"/>
            </w:tcBorders>
            <w:shd w:val="clear" w:color="auto" w:fill="auto"/>
            <w:noWrap/>
            <w:vAlign w:val="bottom"/>
            <w:hideMark/>
          </w:tcPr>
          <w:p w14:paraId="3C6CBAA7" w14:textId="77777777" w:rsidR="00964C12" w:rsidRPr="00690541" w:rsidRDefault="00964C12" w:rsidP="00964C12">
            <w:pPr>
              <w:jc w:val="center"/>
              <w:rPr>
                <w:rFonts w:cs="Arial"/>
                <w:sz w:val="20"/>
                <w:lang w:eastAsia="en-GB"/>
              </w:rPr>
            </w:pPr>
            <w:r w:rsidRPr="00690541">
              <w:rPr>
                <w:rFonts w:cs="Arial"/>
                <w:sz w:val="20"/>
                <w:lang w:eastAsia="en-GB"/>
              </w:rPr>
              <w:t>0</w:t>
            </w:r>
          </w:p>
        </w:tc>
      </w:tr>
      <w:tr w:rsidR="00964C12" w:rsidRPr="00690541" w14:paraId="7407CC98" w14:textId="77777777" w:rsidTr="00964C12">
        <w:trPr>
          <w:trHeight w:val="251"/>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14:paraId="1331BE25" w14:textId="77777777" w:rsidR="00964C12" w:rsidRPr="00690541" w:rsidRDefault="00964C12" w:rsidP="00964C12">
            <w:pPr>
              <w:rPr>
                <w:rFonts w:cs="Arial"/>
                <w:color w:val="000000"/>
                <w:sz w:val="18"/>
                <w:szCs w:val="18"/>
                <w:lang w:eastAsia="en-GB"/>
              </w:rPr>
            </w:pPr>
            <w:r w:rsidRPr="00690541">
              <w:rPr>
                <w:rFonts w:cs="Arial"/>
                <w:color w:val="000000"/>
                <w:sz w:val="18"/>
                <w:szCs w:val="18"/>
                <w:lang w:eastAsia="en-GB"/>
              </w:rPr>
              <w:t>Environment &amp; Culture</w:t>
            </w:r>
          </w:p>
        </w:tc>
        <w:tc>
          <w:tcPr>
            <w:tcW w:w="1527" w:type="dxa"/>
            <w:tcBorders>
              <w:top w:val="nil"/>
              <w:left w:val="nil"/>
              <w:bottom w:val="single" w:sz="4" w:space="0" w:color="auto"/>
              <w:right w:val="single" w:sz="4" w:space="0" w:color="auto"/>
            </w:tcBorders>
            <w:shd w:val="clear" w:color="auto" w:fill="auto"/>
            <w:noWrap/>
            <w:vAlign w:val="bottom"/>
            <w:hideMark/>
          </w:tcPr>
          <w:p w14:paraId="76584510" w14:textId="77777777" w:rsidR="00964C12" w:rsidRPr="00690541" w:rsidRDefault="00964C12" w:rsidP="00964C12">
            <w:pPr>
              <w:jc w:val="center"/>
              <w:rPr>
                <w:rFonts w:cs="Arial"/>
                <w:sz w:val="20"/>
                <w:lang w:eastAsia="en-GB"/>
              </w:rPr>
            </w:pPr>
            <w:r w:rsidRPr="00690541">
              <w:rPr>
                <w:rFonts w:cs="Arial"/>
                <w:sz w:val="20"/>
                <w:lang w:eastAsia="en-GB"/>
              </w:rPr>
              <w:t>428</w:t>
            </w:r>
          </w:p>
        </w:tc>
        <w:tc>
          <w:tcPr>
            <w:tcW w:w="1119" w:type="dxa"/>
            <w:tcBorders>
              <w:top w:val="nil"/>
              <w:left w:val="nil"/>
              <w:bottom w:val="single" w:sz="4" w:space="0" w:color="auto"/>
              <w:right w:val="single" w:sz="4" w:space="0" w:color="auto"/>
            </w:tcBorders>
            <w:shd w:val="clear" w:color="auto" w:fill="auto"/>
            <w:noWrap/>
            <w:vAlign w:val="bottom"/>
            <w:hideMark/>
          </w:tcPr>
          <w:p w14:paraId="335E7CC9" w14:textId="77777777" w:rsidR="00964C12" w:rsidRPr="00690541" w:rsidRDefault="00964C12" w:rsidP="00964C12">
            <w:pPr>
              <w:jc w:val="center"/>
              <w:rPr>
                <w:rFonts w:cs="Arial"/>
                <w:sz w:val="20"/>
                <w:lang w:eastAsia="en-GB"/>
              </w:rPr>
            </w:pPr>
            <w:r w:rsidRPr="00690541">
              <w:rPr>
                <w:rFonts w:cs="Arial"/>
                <w:sz w:val="20"/>
                <w:lang w:eastAsia="en-GB"/>
              </w:rPr>
              <w:t>0</w:t>
            </w:r>
          </w:p>
        </w:tc>
        <w:tc>
          <w:tcPr>
            <w:tcW w:w="1914" w:type="dxa"/>
            <w:tcBorders>
              <w:top w:val="nil"/>
              <w:left w:val="nil"/>
              <w:bottom w:val="single" w:sz="4" w:space="0" w:color="auto"/>
              <w:right w:val="single" w:sz="8" w:space="0" w:color="auto"/>
            </w:tcBorders>
            <w:shd w:val="clear" w:color="auto" w:fill="auto"/>
            <w:noWrap/>
            <w:vAlign w:val="bottom"/>
            <w:hideMark/>
          </w:tcPr>
          <w:p w14:paraId="4AE5FC2B" w14:textId="77777777" w:rsidR="00964C12" w:rsidRPr="00690541" w:rsidRDefault="00964C12" w:rsidP="00964C12">
            <w:pPr>
              <w:jc w:val="center"/>
              <w:rPr>
                <w:rFonts w:cs="Arial"/>
                <w:sz w:val="20"/>
                <w:lang w:eastAsia="en-GB"/>
              </w:rPr>
            </w:pPr>
            <w:r w:rsidRPr="00690541">
              <w:rPr>
                <w:rFonts w:cs="Arial"/>
                <w:sz w:val="20"/>
                <w:lang w:eastAsia="en-GB"/>
              </w:rPr>
              <w:t>428</w:t>
            </w:r>
          </w:p>
        </w:tc>
      </w:tr>
      <w:tr w:rsidR="00964C12" w:rsidRPr="00690541" w14:paraId="746D8016" w14:textId="77777777" w:rsidTr="00964C12">
        <w:trPr>
          <w:trHeight w:val="413"/>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14:paraId="6A40CE4A" w14:textId="77777777" w:rsidR="00964C12" w:rsidRPr="00690541" w:rsidRDefault="00964C12" w:rsidP="00964C12">
            <w:pPr>
              <w:rPr>
                <w:rFonts w:cs="Arial"/>
                <w:color w:val="000000"/>
                <w:sz w:val="18"/>
                <w:szCs w:val="18"/>
                <w:lang w:eastAsia="en-GB"/>
              </w:rPr>
            </w:pPr>
            <w:r w:rsidRPr="00690541">
              <w:rPr>
                <w:rFonts w:cs="Arial"/>
                <w:color w:val="000000"/>
                <w:sz w:val="18"/>
                <w:szCs w:val="18"/>
                <w:lang w:eastAsia="en-GB"/>
              </w:rPr>
              <w:t>Directorate Management</w:t>
            </w:r>
          </w:p>
        </w:tc>
        <w:tc>
          <w:tcPr>
            <w:tcW w:w="1527" w:type="dxa"/>
            <w:tcBorders>
              <w:top w:val="nil"/>
              <w:left w:val="nil"/>
              <w:bottom w:val="single" w:sz="4" w:space="0" w:color="auto"/>
              <w:right w:val="single" w:sz="4" w:space="0" w:color="auto"/>
            </w:tcBorders>
            <w:shd w:val="clear" w:color="auto" w:fill="auto"/>
            <w:noWrap/>
            <w:vAlign w:val="bottom"/>
            <w:hideMark/>
          </w:tcPr>
          <w:p w14:paraId="5336DC73" w14:textId="77777777" w:rsidR="00964C12" w:rsidRPr="00690541" w:rsidRDefault="00964C12" w:rsidP="00964C12">
            <w:pPr>
              <w:jc w:val="center"/>
              <w:rPr>
                <w:rFonts w:cs="Arial"/>
                <w:sz w:val="20"/>
                <w:lang w:eastAsia="en-GB"/>
              </w:rPr>
            </w:pPr>
            <w:r w:rsidRPr="00690541">
              <w:rPr>
                <w:rFonts w:cs="Arial"/>
                <w:sz w:val="20"/>
                <w:lang w:eastAsia="en-GB"/>
              </w:rPr>
              <w:t>0</w:t>
            </w:r>
          </w:p>
        </w:tc>
        <w:tc>
          <w:tcPr>
            <w:tcW w:w="1119" w:type="dxa"/>
            <w:tcBorders>
              <w:top w:val="nil"/>
              <w:left w:val="nil"/>
              <w:bottom w:val="single" w:sz="4" w:space="0" w:color="auto"/>
              <w:right w:val="single" w:sz="4" w:space="0" w:color="auto"/>
            </w:tcBorders>
            <w:shd w:val="clear" w:color="auto" w:fill="auto"/>
            <w:noWrap/>
            <w:vAlign w:val="bottom"/>
            <w:hideMark/>
          </w:tcPr>
          <w:p w14:paraId="7AB4135F" w14:textId="77777777" w:rsidR="00964C12" w:rsidRPr="00690541" w:rsidRDefault="00964C12" w:rsidP="00964C12">
            <w:pPr>
              <w:jc w:val="center"/>
              <w:rPr>
                <w:rFonts w:cs="Arial"/>
                <w:sz w:val="20"/>
                <w:lang w:eastAsia="en-GB"/>
              </w:rPr>
            </w:pPr>
            <w:r w:rsidRPr="00690541">
              <w:rPr>
                <w:rFonts w:cs="Arial"/>
                <w:sz w:val="20"/>
                <w:lang w:eastAsia="en-GB"/>
              </w:rPr>
              <w:t>0</w:t>
            </w:r>
          </w:p>
        </w:tc>
        <w:tc>
          <w:tcPr>
            <w:tcW w:w="1914" w:type="dxa"/>
            <w:tcBorders>
              <w:top w:val="nil"/>
              <w:left w:val="nil"/>
              <w:bottom w:val="single" w:sz="4" w:space="0" w:color="auto"/>
              <w:right w:val="single" w:sz="8" w:space="0" w:color="auto"/>
            </w:tcBorders>
            <w:shd w:val="clear" w:color="auto" w:fill="auto"/>
            <w:noWrap/>
            <w:vAlign w:val="bottom"/>
            <w:hideMark/>
          </w:tcPr>
          <w:p w14:paraId="69581D6B" w14:textId="77777777" w:rsidR="00964C12" w:rsidRPr="00690541" w:rsidRDefault="00964C12" w:rsidP="00964C12">
            <w:pPr>
              <w:jc w:val="center"/>
              <w:rPr>
                <w:rFonts w:cs="Arial"/>
                <w:sz w:val="20"/>
                <w:lang w:eastAsia="en-GB"/>
              </w:rPr>
            </w:pPr>
            <w:r w:rsidRPr="00690541">
              <w:rPr>
                <w:rFonts w:cs="Arial"/>
                <w:sz w:val="20"/>
                <w:lang w:eastAsia="en-GB"/>
              </w:rPr>
              <w:t>0</w:t>
            </w:r>
          </w:p>
        </w:tc>
      </w:tr>
      <w:tr w:rsidR="00964C12" w:rsidRPr="00690541" w14:paraId="5A1D6B0C" w14:textId="77777777" w:rsidTr="00964C12">
        <w:trPr>
          <w:trHeight w:val="251"/>
        </w:trPr>
        <w:tc>
          <w:tcPr>
            <w:tcW w:w="2388" w:type="dxa"/>
            <w:tcBorders>
              <w:top w:val="nil"/>
              <w:left w:val="single" w:sz="8" w:space="0" w:color="auto"/>
              <w:bottom w:val="single" w:sz="4" w:space="0" w:color="auto"/>
              <w:right w:val="single" w:sz="4" w:space="0" w:color="auto"/>
            </w:tcBorders>
            <w:shd w:val="clear" w:color="auto" w:fill="auto"/>
            <w:noWrap/>
            <w:vAlign w:val="bottom"/>
            <w:hideMark/>
          </w:tcPr>
          <w:p w14:paraId="27D7D39D" w14:textId="77777777" w:rsidR="00964C12" w:rsidRPr="00690541" w:rsidRDefault="00964C12" w:rsidP="00964C12">
            <w:pPr>
              <w:rPr>
                <w:rFonts w:cs="Arial"/>
                <w:color w:val="000000"/>
                <w:sz w:val="18"/>
                <w:szCs w:val="18"/>
                <w:lang w:eastAsia="en-GB"/>
              </w:rPr>
            </w:pPr>
            <w:r w:rsidRPr="00690541">
              <w:rPr>
                <w:rFonts w:cs="Arial"/>
                <w:color w:val="000000"/>
                <w:sz w:val="18"/>
                <w:szCs w:val="18"/>
                <w:lang w:eastAsia="en-GB"/>
              </w:rPr>
              <w:t>Housing General Fund</w:t>
            </w:r>
          </w:p>
        </w:tc>
        <w:tc>
          <w:tcPr>
            <w:tcW w:w="1527" w:type="dxa"/>
            <w:tcBorders>
              <w:top w:val="nil"/>
              <w:left w:val="nil"/>
              <w:bottom w:val="single" w:sz="4" w:space="0" w:color="auto"/>
              <w:right w:val="single" w:sz="4" w:space="0" w:color="auto"/>
            </w:tcBorders>
            <w:shd w:val="clear" w:color="auto" w:fill="auto"/>
            <w:noWrap/>
            <w:vAlign w:val="bottom"/>
            <w:hideMark/>
          </w:tcPr>
          <w:p w14:paraId="1DDDFF09" w14:textId="77777777" w:rsidR="00964C12" w:rsidRPr="00690541" w:rsidRDefault="00964C12" w:rsidP="00964C12">
            <w:pPr>
              <w:jc w:val="center"/>
              <w:rPr>
                <w:rFonts w:cs="Arial"/>
                <w:sz w:val="20"/>
                <w:lang w:eastAsia="en-GB"/>
              </w:rPr>
            </w:pPr>
            <w:r w:rsidRPr="00690541">
              <w:rPr>
                <w:rFonts w:cs="Arial"/>
                <w:sz w:val="20"/>
                <w:lang w:eastAsia="en-GB"/>
              </w:rPr>
              <w:t>0</w:t>
            </w:r>
          </w:p>
        </w:tc>
        <w:tc>
          <w:tcPr>
            <w:tcW w:w="1119" w:type="dxa"/>
            <w:tcBorders>
              <w:top w:val="nil"/>
              <w:left w:val="nil"/>
              <w:bottom w:val="single" w:sz="4" w:space="0" w:color="auto"/>
              <w:right w:val="single" w:sz="4" w:space="0" w:color="auto"/>
            </w:tcBorders>
            <w:shd w:val="clear" w:color="auto" w:fill="auto"/>
            <w:noWrap/>
            <w:vAlign w:val="bottom"/>
            <w:hideMark/>
          </w:tcPr>
          <w:p w14:paraId="688DBD4E" w14:textId="77777777" w:rsidR="00964C12" w:rsidRPr="00690541" w:rsidRDefault="00964C12" w:rsidP="00964C12">
            <w:pPr>
              <w:jc w:val="center"/>
              <w:rPr>
                <w:rFonts w:cs="Arial"/>
                <w:sz w:val="20"/>
                <w:lang w:eastAsia="en-GB"/>
              </w:rPr>
            </w:pPr>
            <w:r w:rsidRPr="00690541">
              <w:rPr>
                <w:rFonts w:cs="Arial"/>
                <w:sz w:val="20"/>
                <w:lang w:eastAsia="en-GB"/>
              </w:rPr>
              <w:t>0</w:t>
            </w:r>
          </w:p>
        </w:tc>
        <w:tc>
          <w:tcPr>
            <w:tcW w:w="1914" w:type="dxa"/>
            <w:tcBorders>
              <w:top w:val="nil"/>
              <w:left w:val="nil"/>
              <w:bottom w:val="single" w:sz="4" w:space="0" w:color="auto"/>
              <w:right w:val="single" w:sz="8" w:space="0" w:color="auto"/>
            </w:tcBorders>
            <w:shd w:val="clear" w:color="auto" w:fill="auto"/>
            <w:noWrap/>
            <w:vAlign w:val="bottom"/>
            <w:hideMark/>
          </w:tcPr>
          <w:p w14:paraId="20A44CA7" w14:textId="77777777" w:rsidR="00964C12" w:rsidRPr="00690541" w:rsidRDefault="00964C12" w:rsidP="00964C12">
            <w:pPr>
              <w:jc w:val="center"/>
              <w:rPr>
                <w:rFonts w:cs="Arial"/>
                <w:sz w:val="20"/>
                <w:lang w:eastAsia="en-GB"/>
              </w:rPr>
            </w:pPr>
            <w:r w:rsidRPr="00690541">
              <w:rPr>
                <w:rFonts w:cs="Arial"/>
                <w:sz w:val="20"/>
                <w:lang w:eastAsia="en-GB"/>
              </w:rPr>
              <w:t>0</w:t>
            </w:r>
          </w:p>
        </w:tc>
      </w:tr>
      <w:tr w:rsidR="00964C12" w:rsidRPr="00690541" w14:paraId="2F63AC07" w14:textId="77777777" w:rsidTr="00964C12">
        <w:trPr>
          <w:trHeight w:val="265"/>
        </w:trPr>
        <w:tc>
          <w:tcPr>
            <w:tcW w:w="2388" w:type="dxa"/>
            <w:tcBorders>
              <w:top w:val="nil"/>
              <w:left w:val="single" w:sz="8" w:space="0" w:color="auto"/>
              <w:bottom w:val="single" w:sz="8" w:space="0" w:color="auto"/>
              <w:right w:val="nil"/>
            </w:tcBorders>
            <w:shd w:val="clear" w:color="auto" w:fill="auto"/>
            <w:vAlign w:val="bottom"/>
            <w:hideMark/>
          </w:tcPr>
          <w:p w14:paraId="35A09708" w14:textId="77777777" w:rsidR="00964C12" w:rsidRPr="00690541" w:rsidRDefault="00964C12" w:rsidP="00964C12">
            <w:pPr>
              <w:rPr>
                <w:rFonts w:cs="Arial"/>
                <w:sz w:val="20"/>
                <w:lang w:eastAsia="en-GB"/>
              </w:rPr>
            </w:pPr>
            <w:r w:rsidRPr="00690541">
              <w:rPr>
                <w:rFonts w:cs="Arial"/>
                <w:sz w:val="20"/>
                <w:lang w:eastAsia="en-GB"/>
              </w:rPr>
              <w:t>Total</w:t>
            </w:r>
          </w:p>
        </w:tc>
        <w:tc>
          <w:tcPr>
            <w:tcW w:w="1527" w:type="dxa"/>
            <w:tcBorders>
              <w:top w:val="nil"/>
              <w:left w:val="single" w:sz="4" w:space="0" w:color="auto"/>
              <w:bottom w:val="single" w:sz="8" w:space="0" w:color="auto"/>
              <w:right w:val="single" w:sz="4" w:space="0" w:color="auto"/>
            </w:tcBorders>
            <w:shd w:val="clear" w:color="auto" w:fill="auto"/>
            <w:noWrap/>
            <w:vAlign w:val="bottom"/>
            <w:hideMark/>
          </w:tcPr>
          <w:p w14:paraId="6CCEE86B" w14:textId="77777777" w:rsidR="00964C12" w:rsidRPr="00690541" w:rsidRDefault="00964C12" w:rsidP="00964C12">
            <w:pPr>
              <w:jc w:val="center"/>
              <w:rPr>
                <w:rFonts w:cs="Arial"/>
                <w:sz w:val="20"/>
                <w:lang w:eastAsia="en-GB"/>
              </w:rPr>
            </w:pPr>
            <w:r w:rsidRPr="00690541">
              <w:rPr>
                <w:rFonts w:cs="Arial"/>
                <w:sz w:val="20"/>
                <w:lang w:eastAsia="en-GB"/>
              </w:rPr>
              <w:t>428</w:t>
            </w:r>
          </w:p>
        </w:tc>
        <w:tc>
          <w:tcPr>
            <w:tcW w:w="1119" w:type="dxa"/>
            <w:tcBorders>
              <w:top w:val="nil"/>
              <w:left w:val="nil"/>
              <w:bottom w:val="single" w:sz="8" w:space="0" w:color="auto"/>
              <w:right w:val="single" w:sz="4" w:space="0" w:color="auto"/>
            </w:tcBorders>
            <w:shd w:val="clear" w:color="auto" w:fill="auto"/>
            <w:noWrap/>
            <w:vAlign w:val="bottom"/>
            <w:hideMark/>
          </w:tcPr>
          <w:p w14:paraId="58B73AE5" w14:textId="77777777" w:rsidR="00964C12" w:rsidRPr="00690541" w:rsidRDefault="00964C12" w:rsidP="00964C12">
            <w:pPr>
              <w:jc w:val="center"/>
              <w:rPr>
                <w:rFonts w:cs="Arial"/>
                <w:sz w:val="20"/>
                <w:lang w:eastAsia="en-GB"/>
              </w:rPr>
            </w:pPr>
            <w:r w:rsidRPr="00690541">
              <w:rPr>
                <w:rFonts w:cs="Arial"/>
                <w:sz w:val="20"/>
                <w:lang w:eastAsia="en-GB"/>
              </w:rPr>
              <w:t>0</w:t>
            </w:r>
          </w:p>
        </w:tc>
        <w:tc>
          <w:tcPr>
            <w:tcW w:w="1914" w:type="dxa"/>
            <w:tcBorders>
              <w:top w:val="nil"/>
              <w:left w:val="nil"/>
              <w:bottom w:val="single" w:sz="8" w:space="0" w:color="auto"/>
              <w:right w:val="single" w:sz="8" w:space="0" w:color="auto"/>
            </w:tcBorders>
            <w:shd w:val="clear" w:color="auto" w:fill="auto"/>
            <w:noWrap/>
            <w:vAlign w:val="bottom"/>
            <w:hideMark/>
          </w:tcPr>
          <w:p w14:paraId="085B3DEF" w14:textId="77777777" w:rsidR="00964C12" w:rsidRPr="00690541" w:rsidRDefault="00964C12" w:rsidP="00964C12">
            <w:pPr>
              <w:jc w:val="center"/>
              <w:rPr>
                <w:rFonts w:cs="Arial"/>
                <w:sz w:val="20"/>
                <w:lang w:eastAsia="en-GB"/>
              </w:rPr>
            </w:pPr>
            <w:r w:rsidRPr="00690541">
              <w:rPr>
                <w:rFonts w:cs="Arial"/>
                <w:sz w:val="20"/>
                <w:lang w:eastAsia="en-GB"/>
              </w:rPr>
              <w:t>428</w:t>
            </w:r>
          </w:p>
        </w:tc>
      </w:tr>
    </w:tbl>
    <w:p w14:paraId="2BD3D17D" w14:textId="4C0449BB" w:rsidR="000839D1" w:rsidRDefault="000839D1" w:rsidP="00D30E09">
      <w:pPr>
        <w:pStyle w:val="ListParagraph"/>
        <w:spacing w:after="240"/>
        <w:ind w:left="851" w:hanging="851"/>
        <w:jc w:val="both"/>
        <w:rPr>
          <w:b/>
          <w:u w:val="single"/>
        </w:rPr>
      </w:pPr>
    </w:p>
    <w:p w14:paraId="026C975C" w14:textId="5BDA0DAA" w:rsidR="00F070E2" w:rsidRPr="00CB1B58" w:rsidRDefault="0065397E" w:rsidP="00613368">
      <w:pPr>
        <w:pStyle w:val="ListParagraph"/>
        <w:numPr>
          <w:ilvl w:val="1"/>
          <w:numId w:val="64"/>
        </w:numPr>
        <w:spacing w:after="120"/>
        <w:ind w:left="709" w:hanging="709"/>
        <w:jc w:val="both"/>
        <w:rPr>
          <w:bCs/>
          <w:lang w:val="en-US"/>
        </w:rPr>
      </w:pPr>
      <w:r w:rsidRPr="00A00A64">
        <w:rPr>
          <w:bCs/>
          <w:lang w:val="en-US"/>
        </w:rPr>
        <w:t xml:space="preserve">At </w:t>
      </w:r>
      <w:r w:rsidR="00BB60A4" w:rsidRPr="00A00A64">
        <w:rPr>
          <w:bCs/>
          <w:lang w:val="en-US"/>
        </w:rPr>
        <w:t xml:space="preserve">Quarter </w:t>
      </w:r>
      <w:r w:rsidR="00FE3DEE">
        <w:rPr>
          <w:bCs/>
          <w:lang w:val="en-US"/>
        </w:rPr>
        <w:t>2</w:t>
      </w:r>
      <w:r w:rsidRPr="00A00A64">
        <w:rPr>
          <w:bCs/>
          <w:lang w:val="en-US"/>
        </w:rPr>
        <w:t xml:space="preserve">, the Community Directorate </w:t>
      </w:r>
      <w:r w:rsidR="00FA5ABC" w:rsidRPr="00A00A64">
        <w:rPr>
          <w:bCs/>
          <w:lang w:val="en-US"/>
        </w:rPr>
        <w:t xml:space="preserve">is reporting </w:t>
      </w:r>
      <w:proofErr w:type="gramStart"/>
      <w:r w:rsidR="004C5118" w:rsidRPr="00A00A64">
        <w:rPr>
          <w:bCs/>
          <w:lang w:val="en-US"/>
        </w:rPr>
        <w:t>a</w:t>
      </w:r>
      <w:r w:rsidR="00FE3DEE">
        <w:rPr>
          <w:bCs/>
          <w:lang w:val="en-US"/>
        </w:rPr>
        <w:t>n overspend</w:t>
      </w:r>
      <w:proofErr w:type="gramEnd"/>
      <w:r w:rsidR="00FE3DEE">
        <w:rPr>
          <w:bCs/>
          <w:lang w:val="en-US"/>
        </w:rPr>
        <w:t xml:space="preserve"> of £428k</w:t>
      </w:r>
      <w:r w:rsidR="004C5118" w:rsidRPr="00A00A64">
        <w:rPr>
          <w:bCs/>
          <w:lang w:val="en-US"/>
        </w:rPr>
        <w:t xml:space="preserve"> after</w:t>
      </w:r>
      <w:r w:rsidR="00B17948" w:rsidRPr="00A00A64">
        <w:rPr>
          <w:bCs/>
          <w:lang w:val="en-US"/>
        </w:rPr>
        <w:t xml:space="preserve"> an assumed draw from reserves of (£7</w:t>
      </w:r>
      <w:r w:rsidR="00FE3DEE">
        <w:rPr>
          <w:bCs/>
          <w:lang w:val="en-US"/>
        </w:rPr>
        <w:t>04</w:t>
      </w:r>
      <w:r w:rsidR="00B17948" w:rsidRPr="00A00A64">
        <w:rPr>
          <w:bCs/>
          <w:lang w:val="en-US"/>
        </w:rPr>
        <w:t>k)</w:t>
      </w:r>
      <w:r w:rsidR="00FE3DEE">
        <w:rPr>
          <w:bCs/>
          <w:lang w:val="en-US"/>
        </w:rPr>
        <w:t xml:space="preserve"> </w:t>
      </w:r>
      <w:r w:rsidR="00FE3DEE" w:rsidRPr="00FE3DEE">
        <w:rPr>
          <w:bCs/>
          <w:lang w:val="en-US"/>
        </w:rPr>
        <w:t>as detailed in appendix 3</w:t>
      </w:r>
      <w:r w:rsidR="00FE3DEE">
        <w:rPr>
          <w:bCs/>
          <w:lang w:val="en-US"/>
        </w:rPr>
        <w:t xml:space="preserve">. </w:t>
      </w:r>
      <w:r w:rsidR="00F070E2" w:rsidRPr="00F070E2">
        <w:rPr>
          <w:bCs/>
        </w:rPr>
        <w:t>There has been an adverse movement in the variance of £428k from Quarter 1 to Quarter 2</w:t>
      </w:r>
      <w:r w:rsidR="00F070E2">
        <w:rPr>
          <w:bCs/>
        </w:rPr>
        <w:t>.</w:t>
      </w:r>
    </w:p>
    <w:p w14:paraId="16E0086D" w14:textId="3DF8D8CC" w:rsidR="00F070E2" w:rsidRPr="00CB1B58" w:rsidRDefault="00F070E2" w:rsidP="00404B4F">
      <w:pPr>
        <w:pStyle w:val="ListParagraph"/>
        <w:numPr>
          <w:ilvl w:val="1"/>
          <w:numId w:val="64"/>
        </w:numPr>
        <w:spacing w:after="120"/>
        <w:ind w:left="709" w:hanging="709"/>
        <w:jc w:val="both"/>
        <w:rPr>
          <w:bCs/>
          <w:lang w:val="en-US"/>
        </w:rPr>
      </w:pPr>
      <w:r w:rsidRPr="00F070E2">
        <w:rPr>
          <w:bCs/>
        </w:rPr>
        <w:t xml:space="preserve">Waste services over spend of </w:t>
      </w:r>
      <w:r w:rsidRPr="00F070E2">
        <w:rPr>
          <w:b/>
          <w:bCs/>
        </w:rPr>
        <w:t>£250k</w:t>
      </w:r>
      <w:r w:rsidRPr="00F070E2">
        <w:rPr>
          <w:bCs/>
        </w:rPr>
        <w:t xml:space="preserve"> on staffing costs as a result of sickness and holiday cover. Managers are continually reviewing and challenging the levels of sickness. One of the key areas also being reviewed is the current level of agency staff deployed. There is a national shortage of LGV drivers and recruiting to the posts is difficult. Despite these factors managers are looking at ways in which to tackle the shortages</w:t>
      </w:r>
      <w:r w:rsidR="0013304F">
        <w:rPr>
          <w:bCs/>
        </w:rPr>
        <w:t>.</w:t>
      </w:r>
      <w:r w:rsidRPr="00F070E2">
        <w:rPr>
          <w:bCs/>
        </w:rPr>
        <w:t xml:space="preserve"> </w:t>
      </w:r>
      <w:r w:rsidR="0013304F">
        <w:rPr>
          <w:bCs/>
        </w:rPr>
        <w:t>O</w:t>
      </w:r>
      <w:r w:rsidRPr="00F070E2">
        <w:rPr>
          <w:bCs/>
        </w:rPr>
        <w:t>ne option is to introduce an apprenticeship scheme</w:t>
      </w:r>
      <w:r w:rsidR="0013304F">
        <w:rPr>
          <w:bCs/>
        </w:rPr>
        <w:t xml:space="preserve"> which </w:t>
      </w:r>
      <w:r w:rsidRPr="00F070E2">
        <w:rPr>
          <w:bCs/>
        </w:rPr>
        <w:t>is currently being developed</w:t>
      </w:r>
      <w:r>
        <w:rPr>
          <w:bCs/>
        </w:rPr>
        <w:t>.</w:t>
      </w:r>
    </w:p>
    <w:p w14:paraId="24DAD843" w14:textId="77777777" w:rsidR="00F070E2" w:rsidRPr="00CB1B58" w:rsidRDefault="00F070E2" w:rsidP="00404B4F">
      <w:pPr>
        <w:pStyle w:val="ListParagraph"/>
        <w:numPr>
          <w:ilvl w:val="1"/>
          <w:numId w:val="64"/>
        </w:numPr>
        <w:spacing w:after="120"/>
        <w:ind w:left="709" w:hanging="709"/>
        <w:jc w:val="both"/>
        <w:rPr>
          <w:bCs/>
          <w:lang w:val="en-US"/>
        </w:rPr>
      </w:pPr>
      <w:r w:rsidRPr="00F070E2">
        <w:rPr>
          <w:bCs/>
        </w:rPr>
        <w:t xml:space="preserve">Clean &amp; Green team over spend of </w:t>
      </w:r>
      <w:r w:rsidRPr="00F070E2">
        <w:rPr>
          <w:b/>
          <w:bCs/>
        </w:rPr>
        <w:t>£130k</w:t>
      </w:r>
      <w:r w:rsidRPr="00F070E2">
        <w:rPr>
          <w:bCs/>
        </w:rPr>
        <w:t xml:space="preserve"> on agency staffing costs</w:t>
      </w:r>
      <w:r>
        <w:rPr>
          <w:bCs/>
        </w:rPr>
        <w:t>.</w:t>
      </w:r>
    </w:p>
    <w:p w14:paraId="7D5DF579" w14:textId="77777777" w:rsidR="00F070E2" w:rsidRPr="00CB1B58" w:rsidRDefault="00F070E2" w:rsidP="00404B4F">
      <w:pPr>
        <w:pStyle w:val="ListParagraph"/>
        <w:numPr>
          <w:ilvl w:val="1"/>
          <w:numId w:val="64"/>
        </w:numPr>
        <w:spacing w:after="120"/>
        <w:ind w:left="709" w:hanging="709"/>
        <w:jc w:val="both"/>
        <w:rPr>
          <w:bCs/>
          <w:lang w:val="en-US"/>
        </w:rPr>
      </w:pPr>
      <w:r w:rsidRPr="00F070E2">
        <w:rPr>
          <w:bCs/>
        </w:rPr>
        <w:t xml:space="preserve">Additional costs of </w:t>
      </w:r>
      <w:r w:rsidRPr="00CB1B58">
        <w:rPr>
          <w:b/>
          <w:bCs/>
        </w:rPr>
        <w:t>£149k</w:t>
      </w:r>
      <w:r w:rsidRPr="00F070E2">
        <w:rPr>
          <w:bCs/>
        </w:rPr>
        <w:t xml:space="preserve"> were incurred to provide interim cover and project management support during the restructuring process in Environment &amp; Culture division</w:t>
      </w:r>
      <w:r>
        <w:rPr>
          <w:bCs/>
        </w:rPr>
        <w:t>.</w:t>
      </w:r>
    </w:p>
    <w:p w14:paraId="7A0B62EC" w14:textId="4A972B9C" w:rsidR="00F070E2" w:rsidRPr="00CB1B58" w:rsidRDefault="00F070E2" w:rsidP="00404B4F">
      <w:pPr>
        <w:pStyle w:val="ListParagraph"/>
        <w:numPr>
          <w:ilvl w:val="1"/>
          <w:numId w:val="64"/>
        </w:numPr>
        <w:spacing w:after="120"/>
        <w:ind w:left="709" w:hanging="709"/>
        <w:jc w:val="both"/>
        <w:rPr>
          <w:bCs/>
          <w:lang w:val="en-US"/>
        </w:rPr>
      </w:pPr>
      <w:r w:rsidRPr="00F070E2">
        <w:rPr>
          <w:bCs/>
        </w:rPr>
        <w:t xml:space="preserve">These overspends have been offset by an increase in income of </w:t>
      </w:r>
      <w:r w:rsidR="00A74221">
        <w:rPr>
          <w:bCs/>
        </w:rPr>
        <w:t>(</w:t>
      </w:r>
      <w:r w:rsidRPr="00F070E2">
        <w:rPr>
          <w:b/>
          <w:bCs/>
        </w:rPr>
        <w:t>£100k</w:t>
      </w:r>
      <w:r w:rsidR="00A74221">
        <w:rPr>
          <w:b/>
          <w:bCs/>
        </w:rPr>
        <w:t>)</w:t>
      </w:r>
      <w:r w:rsidRPr="00F070E2">
        <w:rPr>
          <w:bCs/>
        </w:rPr>
        <w:t xml:space="preserve"> mainly in relation to Parks &amp; cemeteries</w:t>
      </w:r>
      <w:r>
        <w:rPr>
          <w:bCs/>
        </w:rPr>
        <w:t>.</w:t>
      </w:r>
    </w:p>
    <w:p w14:paraId="0C4C3D10" w14:textId="4EDC9E43" w:rsidR="00D47F50" w:rsidRPr="00CB1B58" w:rsidRDefault="00270959" w:rsidP="00404B4F">
      <w:pPr>
        <w:pStyle w:val="ListParagraph"/>
        <w:numPr>
          <w:ilvl w:val="1"/>
          <w:numId w:val="64"/>
        </w:numPr>
        <w:spacing w:after="120"/>
        <w:ind w:left="709" w:hanging="709"/>
        <w:jc w:val="both"/>
        <w:rPr>
          <w:bCs/>
          <w:lang w:val="en-US"/>
        </w:rPr>
      </w:pPr>
      <w:r w:rsidRPr="00270959">
        <w:rPr>
          <w:bCs/>
        </w:rPr>
        <w:t xml:space="preserve">Housing General Fund </w:t>
      </w:r>
      <w:r w:rsidR="0021608E">
        <w:rPr>
          <w:bCs/>
        </w:rPr>
        <w:t xml:space="preserve">is </w:t>
      </w:r>
      <w:r w:rsidRPr="00270959">
        <w:rPr>
          <w:bCs/>
        </w:rPr>
        <w:t>forecast</w:t>
      </w:r>
      <w:r w:rsidR="0021608E">
        <w:rPr>
          <w:bCs/>
        </w:rPr>
        <w:t>ing</w:t>
      </w:r>
      <w:r w:rsidRPr="00270959">
        <w:rPr>
          <w:bCs/>
        </w:rPr>
        <w:t xml:space="preserve"> a balanced position. </w:t>
      </w:r>
    </w:p>
    <w:p w14:paraId="6A277C6D" w14:textId="3EB54408" w:rsidR="0016463C" w:rsidRDefault="0016463C" w:rsidP="00404B4F">
      <w:pPr>
        <w:ind w:left="851" w:hanging="131"/>
        <w:rPr>
          <w:b/>
          <w:bCs/>
          <w:i/>
        </w:rPr>
      </w:pPr>
    </w:p>
    <w:p w14:paraId="07DD57FD" w14:textId="77777777" w:rsidR="0016463C" w:rsidRDefault="0016463C" w:rsidP="00404B4F">
      <w:pPr>
        <w:ind w:left="851" w:hanging="131"/>
        <w:rPr>
          <w:b/>
          <w:bCs/>
          <w:i/>
        </w:rPr>
      </w:pPr>
    </w:p>
    <w:p w14:paraId="5E6C5DD5" w14:textId="493FFB0D" w:rsidR="00270959" w:rsidRDefault="00A74221" w:rsidP="00404B4F">
      <w:pPr>
        <w:ind w:left="851" w:hanging="131"/>
        <w:rPr>
          <w:b/>
          <w:bCs/>
          <w:i/>
        </w:rPr>
      </w:pPr>
      <w:r>
        <w:rPr>
          <w:b/>
          <w:bCs/>
          <w:i/>
        </w:rPr>
        <w:t>S</w:t>
      </w:r>
      <w:r w:rsidRPr="00270959">
        <w:rPr>
          <w:b/>
          <w:bCs/>
          <w:i/>
        </w:rPr>
        <w:t xml:space="preserve">PENDING </w:t>
      </w:r>
      <w:r w:rsidR="00270959" w:rsidRPr="00270959">
        <w:rPr>
          <w:b/>
          <w:bCs/>
          <w:i/>
        </w:rPr>
        <w:t>CONTROL FREEZE</w:t>
      </w:r>
    </w:p>
    <w:p w14:paraId="3A5251DA" w14:textId="77777777" w:rsidR="00C97D07" w:rsidRPr="00270959" w:rsidRDefault="00C97D07" w:rsidP="00D30E09">
      <w:pPr>
        <w:ind w:left="851" w:hanging="851"/>
        <w:rPr>
          <w:b/>
          <w:bCs/>
          <w:i/>
        </w:rPr>
      </w:pPr>
    </w:p>
    <w:p w14:paraId="4EE91157" w14:textId="5BE51FE8" w:rsidR="00270959" w:rsidRPr="00270959" w:rsidRDefault="00270959" w:rsidP="00C4112D">
      <w:pPr>
        <w:pStyle w:val="ListParagraph"/>
        <w:numPr>
          <w:ilvl w:val="1"/>
          <w:numId w:val="64"/>
        </w:numPr>
        <w:spacing w:after="120"/>
        <w:ind w:left="709" w:hanging="709"/>
        <w:jc w:val="both"/>
        <w:rPr>
          <w:bCs/>
          <w:lang w:val="en-US"/>
        </w:rPr>
      </w:pPr>
      <w:r>
        <w:rPr>
          <w:bCs/>
        </w:rPr>
        <w:t xml:space="preserve">The </w:t>
      </w:r>
      <w:r w:rsidRPr="002600E9">
        <w:rPr>
          <w:bCs/>
        </w:rPr>
        <w:t>Community Directorate continues to explore new income opportunities by increasing utilisation of assets. This includes renting out any empty properties, taking over the management of a café and performance space, and undertaking rent review</w:t>
      </w:r>
      <w:r>
        <w:rPr>
          <w:bCs/>
        </w:rPr>
        <w:t>s</w:t>
      </w:r>
      <w:r w:rsidRPr="002600E9">
        <w:rPr>
          <w:bCs/>
        </w:rPr>
        <w:t xml:space="preserve"> as part of lease renewal</w:t>
      </w:r>
      <w:r>
        <w:rPr>
          <w:bCs/>
        </w:rPr>
        <w:t>s</w:t>
      </w:r>
      <w:r w:rsidRPr="002600E9">
        <w:rPr>
          <w:bCs/>
        </w:rPr>
        <w:t xml:space="preserve">. All of these will be undertaken with </w:t>
      </w:r>
      <w:r>
        <w:rPr>
          <w:bCs/>
        </w:rPr>
        <w:t>the</w:t>
      </w:r>
      <w:r w:rsidRPr="002600E9">
        <w:rPr>
          <w:bCs/>
        </w:rPr>
        <w:t xml:space="preserve"> aim </w:t>
      </w:r>
      <w:r>
        <w:rPr>
          <w:bCs/>
        </w:rPr>
        <w:t>of</w:t>
      </w:r>
      <w:r w:rsidRPr="002600E9">
        <w:rPr>
          <w:bCs/>
        </w:rPr>
        <w:t xml:space="preserve"> generating additional income, the exact amount of which will be subject to the timing of new leases / lease review, rent negotiations and/or business cases. In addition, the directorate will carry out efficiency reviews on its services to achieve cost savings. It is anticipated that these actions in coming months will yield a total estimated saving of £455k, which will be used to contribute towards the Council’s overall financial position</w:t>
      </w:r>
      <w:r>
        <w:rPr>
          <w:bCs/>
        </w:rPr>
        <w:t>.</w:t>
      </w:r>
      <w:r w:rsidR="00D47F50" w:rsidRPr="00D47F50">
        <w:rPr>
          <w:rFonts w:cs="Arial"/>
          <w:sz w:val="22"/>
          <w:szCs w:val="22"/>
        </w:rPr>
        <w:t xml:space="preserve"> </w:t>
      </w:r>
      <w:r w:rsidR="00D47F50" w:rsidRPr="00D47F50">
        <w:rPr>
          <w:bCs/>
        </w:rPr>
        <w:t xml:space="preserve">To date, £85k of these savings </w:t>
      </w:r>
      <w:proofErr w:type="gramStart"/>
      <w:r w:rsidR="00D47F50" w:rsidRPr="00D47F50">
        <w:rPr>
          <w:bCs/>
        </w:rPr>
        <w:t>have</w:t>
      </w:r>
      <w:proofErr w:type="gramEnd"/>
      <w:r w:rsidR="00D47F50" w:rsidRPr="00D47F50">
        <w:rPr>
          <w:bCs/>
        </w:rPr>
        <w:t xml:space="preserve"> been banked</w:t>
      </w:r>
      <w:r w:rsidR="00D47F50">
        <w:rPr>
          <w:bCs/>
        </w:rPr>
        <w:t>.</w:t>
      </w:r>
    </w:p>
    <w:p w14:paraId="5921C4F6" w14:textId="77777777" w:rsidR="00270959" w:rsidRPr="00270959" w:rsidRDefault="00270959" w:rsidP="00D30E09">
      <w:pPr>
        <w:pStyle w:val="ListParagraph"/>
        <w:spacing w:after="120"/>
        <w:ind w:left="851" w:hanging="851"/>
        <w:jc w:val="both"/>
        <w:rPr>
          <w:bCs/>
          <w:lang w:val="en-US"/>
        </w:rPr>
      </w:pPr>
    </w:p>
    <w:p w14:paraId="259D629B" w14:textId="66D13DDB" w:rsidR="00270959" w:rsidRPr="00ED4141" w:rsidRDefault="00270959" w:rsidP="00CB1B58">
      <w:pPr>
        <w:pStyle w:val="ListParagraph"/>
        <w:spacing w:after="120"/>
        <w:ind w:left="851" w:hanging="142"/>
        <w:jc w:val="both"/>
        <w:rPr>
          <w:bCs/>
          <w:u w:val="single"/>
          <w:lang w:val="en-US"/>
        </w:rPr>
      </w:pPr>
      <w:r w:rsidRPr="00BB0A57">
        <w:rPr>
          <w:rFonts w:cs="Arial"/>
          <w:b/>
          <w:bCs/>
          <w:szCs w:val="24"/>
          <w:u w:val="single"/>
        </w:rPr>
        <w:t xml:space="preserve">PEOPLE’S DIRECTORATE     </w:t>
      </w:r>
    </w:p>
    <w:p w14:paraId="72E25A10" w14:textId="68AAE2FC" w:rsidR="0065397E" w:rsidRPr="00EC1E32" w:rsidRDefault="00270959" w:rsidP="00CB1B58">
      <w:pPr>
        <w:pStyle w:val="ListParagraph"/>
        <w:numPr>
          <w:ilvl w:val="1"/>
          <w:numId w:val="64"/>
        </w:numPr>
        <w:spacing w:after="120"/>
        <w:ind w:left="709" w:hanging="709"/>
        <w:jc w:val="both"/>
        <w:rPr>
          <w:rFonts w:cs="Arial"/>
          <w:szCs w:val="24"/>
        </w:rPr>
      </w:pPr>
      <w:r w:rsidRPr="00EC1E32">
        <w:rPr>
          <w:bCs/>
        </w:rPr>
        <w:t xml:space="preserve">At Quarter </w:t>
      </w:r>
      <w:r w:rsidR="00EC1E32" w:rsidRPr="00EC1E32">
        <w:rPr>
          <w:bCs/>
        </w:rPr>
        <w:t>2</w:t>
      </w:r>
      <w:r w:rsidRPr="00EC1E32">
        <w:rPr>
          <w:bCs/>
        </w:rPr>
        <w:t xml:space="preserve"> the People’s Directorate is forecasting an over spend of £3.</w:t>
      </w:r>
      <w:r w:rsidR="00EC1E32" w:rsidRPr="00EC1E32">
        <w:rPr>
          <w:bCs/>
        </w:rPr>
        <w:t>440</w:t>
      </w:r>
      <w:r w:rsidRPr="00EC1E32">
        <w:rPr>
          <w:bCs/>
        </w:rPr>
        <w:t>m, this forecast includes assumed draw down from reserves of (£7</w:t>
      </w:r>
      <w:r w:rsidR="00EC1E32" w:rsidRPr="00EC1E32">
        <w:rPr>
          <w:bCs/>
        </w:rPr>
        <w:t>33</w:t>
      </w:r>
      <w:r w:rsidRPr="00EC1E32">
        <w:rPr>
          <w:bCs/>
        </w:rPr>
        <w:t>k) as set out in appendix 3. The directorate’s forecast represents a favourable movement of (£</w:t>
      </w:r>
      <w:r w:rsidR="00EC1E32" w:rsidRPr="00EC1E32">
        <w:rPr>
          <w:bCs/>
        </w:rPr>
        <w:t>120</w:t>
      </w:r>
      <w:r w:rsidRPr="00EC1E32">
        <w:rPr>
          <w:bCs/>
        </w:rPr>
        <w:t>k) when compare</w:t>
      </w:r>
      <w:r w:rsidR="009102CE" w:rsidRPr="00EC1E32">
        <w:rPr>
          <w:bCs/>
        </w:rPr>
        <w:t>d</w:t>
      </w:r>
      <w:r w:rsidRPr="00EC1E32">
        <w:rPr>
          <w:bCs/>
        </w:rPr>
        <w:t xml:space="preserve"> with </w:t>
      </w:r>
      <w:r w:rsidR="0091766E">
        <w:rPr>
          <w:bCs/>
        </w:rPr>
        <w:t>Q</w:t>
      </w:r>
      <w:r w:rsidR="00EC1E32" w:rsidRPr="00EC1E32">
        <w:rPr>
          <w:bCs/>
        </w:rPr>
        <w:t>uarter</w:t>
      </w:r>
      <w:r w:rsidRPr="00EC1E32">
        <w:rPr>
          <w:bCs/>
        </w:rPr>
        <w:t xml:space="preserve"> 2</w:t>
      </w:r>
      <w:r w:rsidR="00EC1E32" w:rsidRPr="00EC1E32">
        <w:rPr>
          <w:bCs/>
        </w:rPr>
        <w:t>.</w:t>
      </w:r>
      <w:r w:rsidR="0065397E" w:rsidRPr="00EC1E32">
        <w:rPr>
          <w:rFonts w:cs="Arial"/>
          <w:b/>
          <w:bCs/>
          <w:szCs w:val="24"/>
        </w:rPr>
        <w:t xml:space="preserve">                                                     </w:t>
      </w:r>
      <w:r w:rsidR="0065397E" w:rsidRPr="00EC1E32">
        <w:rPr>
          <w:rFonts w:cs="Arial"/>
          <w:szCs w:val="24"/>
        </w:rPr>
        <w:t xml:space="preserve"> </w:t>
      </w:r>
    </w:p>
    <w:p w14:paraId="56AE9A2F" w14:textId="7ED2D6C7" w:rsidR="00AC2FFE" w:rsidRDefault="002962D7" w:rsidP="00D30E09">
      <w:pPr>
        <w:spacing w:after="120"/>
        <w:ind w:left="851" w:hanging="851"/>
        <w:jc w:val="both"/>
        <w:rPr>
          <w:bCs/>
        </w:rPr>
      </w:pPr>
      <w:r w:rsidRPr="00BB0A57">
        <w:rPr>
          <w:b/>
          <w:bCs/>
        </w:rPr>
        <w:t xml:space="preserve">   </w:t>
      </w:r>
      <w:r w:rsidR="0021608E">
        <w:rPr>
          <w:b/>
          <w:bCs/>
        </w:rPr>
        <w:t xml:space="preserve">       </w:t>
      </w:r>
      <w:r w:rsidR="004034F2" w:rsidRPr="004034F2">
        <w:rPr>
          <w:b/>
          <w:bCs/>
          <w:u w:val="single"/>
        </w:rPr>
        <w:t xml:space="preserve">Table </w:t>
      </w:r>
      <w:r w:rsidR="00040E4D">
        <w:rPr>
          <w:b/>
          <w:bCs/>
          <w:u w:val="single"/>
        </w:rPr>
        <w:t>4</w:t>
      </w:r>
      <w:r w:rsidR="004034F2" w:rsidRPr="004034F2">
        <w:rPr>
          <w:b/>
          <w:bCs/>
          <w:u w:val="single"/>
        </w:rPr>
        <w:t>: People’s Directorate Variance</w:t>
      </w:r>
      <w:r w:rsidR="00AC2FFE">
        <w:rPr>
          <w:bCs/>
        </w:rPr>
        <w:tab/>
      </w:r>
      <w:r w:rsidR="00AC2FFE">
        <w:rPr>
          <w:bCs/>
        </w:rPr>
        <w:tab/>
      </w:r>
    </w:p>
    <w:tbl>
      <w:tblPr>
        <w:tblW w:w="7868" w:type="dxa"/>
        <w:tblInd w:w="774" w:type="dxa"/>
        <w:tblLayout w:type="fixed"/>
        <w:tblLook w:val="04A0" w:firstRow="1" w:lastRow="0" w:firstColumn="1" w:lastColumn="0" w:noHBand="0" w:noVBand="1"/>
      </w:tblPr>
      <w:tblGrid>
        <w:gridCol w:w="1905"/>
        <w:gridCol w:w="1985"/>
        <w:gridCol w:w="1559"/>
        <w:gridCol w:w="2419"/>
      </w:tblGrid>
      <w:tr w:rsidR="00AC2FFE" w:rsidRPr="00AC2FFE" w14:paraId="1E220EE0" w14:textId="77777777" w:rsidTr="00CB1B58">
        <w:trPr>
          <w:trHeight w:val="276"/>
        </w:trPr>
        <w:tc>
          <w:tcPr>
            <w:tcW w:w="1905" w:type="dxa"/>
            <w:vMerge w:val="restart"/>
            <w:tcBorders>
              <w:top w:val="single" w:sz="8" w:space="0" w:color="auto"/>
              <w:left w:val="single" w:sz="8" w:space="0" w:color="auto"/>
              <w:bottom w:val="nil"/>
              <w:right w:val="single" w:sz="8" w:space="0" w:color="auto"/>
            </w:tcBorders>
            <w:shd w:val="clear" w:color="auto" w:fill="auto"/>
            <w:vAlign w:val="center"/>
          </w:tcPr>
          <w:p w14:paraId="035DE1B5" w14:textId="150305EF" w:rsidR="00AC2FFE" w:rsidRPr="00AC2FFE" w:rsidRDefault="00AC2FFE" w:rsidP="00404B4F">
            <w:pPr>
              <w:ind w:left="851" w:firstLineChars="300" w:firstLine="720"/>
              <w:rPr>
                <w:rFonts w:cs="Arial"/>
                <w:szCs w:val="24"/>
                <w:lang w:eastAsia="en-GB"/>
              </w:rPr>
            </w:pPr>
          </w:p>
        </w:tc>
        <w:tc>
          <w:tcPr>
            <w:tcW w:w="1985" w:type="dxa"/>
            <w:vMerge w:val="restart"/>
            <w:tcBorders>
              <w:top w:val="single" w:sz="8" w:space="0" w:color="auto"/>
              <w:left w:val="single" w:sz="8" w:space="0" w:color="auto"/>
              <w:bottom w:val="nil"/>
              <w:right w:val="single" w:sz="8" w:space="0" w:color="auto"/>
            </w:tcBorders>
            <w:shd w:val="clear" w:color="auto" w:fill="auto"/>
            <w:vAlign w:val="center"/>
          </w:tcPr>
          <w:p w14:paraId="43A88E0F" w14:textId="79868C72" w:rsidR="00AC2FFE" w:rsidRPr="00404B4F" w:rsidRDefault="000A1EAF" w:rsidP="00404B4F">
            <w:pPr>
              <w:rPr>
                <w:rFonts w:cs="Arial"/>
                <w:b/>
                <w:szCs w:val="24"/>
                <w:lang w:eastAsia="en-GB"/>
              </w:rPr>
            </w:pPr>
            <w:r>
              <w:rPr>
                <w:rFonts w:cs="Arial"/>
                <w:b/>
                <w:szCs w:val="24"/>
                <w:lang w:eastAsia="en-GB"/>
              </w:rPr>
              <w:t xml:space="preserve">Quarter </w:t>
            </w:r>
            <w:r w:rsidR="00EC1E32">
              <w:rPr>
                <w:rFonts w:cs="Arial"/>
                <w:b/>
                <w:szCs w:val="24"/>
                <w:lang w:eastAsia="en-GB"/>
              </w:rPr>
              <w:t>2</w:t>
            </w:r>
            <w:r>
              <w:rPr>
                <w:rFonts w:cs="Arial"/>
                <w:b/>
                <w:szCs w:val="24"/>
                <w:lang w:eastAsia="en-GB"/>
              </w:rPr>
              <w:t xml:space="preserve"> Variance</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tcPr>
          <w:p w14:paraId="345E9CDB" w14:textId="39C6F0DE" w:rsidR="00AC2FFE" w:rsidRPr="00404B4F" w:rsidRDefault="00EC1E32" w:rsidP="00404B4F">
            <w:pPr>
              <w:rPr>
                <w:rFonts w:cs="Arial"/>
                <w:b/>
                <w:szCs w:val="24"/>
                <w:lang w:eastAsia="en-GB"/>
              </w:rPr>
            </w:pPr>
            <w:r w:rsidRPr="00EC1E32">
              <w:rPr>
                <w:rFonts w:cs="Arial"/>
                <w:b/>
                <w:szCs w:val="24"/>
                <w:lang w:eastAsia="en-GB"/>
              </w:rPr>
              <w:t>Quarter 1 Variance</w:t>
            </w:r>
          </w:p>
        </w:tc>
        <w:tc>
          <w:tcPr>
            <w:tcW w:w="2419" w:type="dxa"/>
            <w:vMerge w:val="restart"/>
            <w:tcBorders>
              <w:top w:val="single" w:sz="8" w:space="0" w:color="auto"/>
              <w:left w:val="single" w:sz="8" w:space="0" w:color="auto"/>
              <w:bottom w:val="nil"/>
              <w:right w:val="single" w:sz="8" w:space="0" w:color="auto"/>
            </w:tcBorders>
            <w:shd w:val="clear" w:color="auto" w:fill="auto"/>
            <w:vAlign w:val="center"/>
          </w:tcPr>
          <w:p w14:paraId="2CB45B5F" w14:textId="20134D71" w:rsidR="00AC2FFE" w:rsidRPr="00AC2FFE" w:rsidRDefault="000A1EAF" w:rsidP="00404B4F">
            <w:pPr>
              <w:rPr>
                <w:rFonts w:cs="Arial"/>
                <w:szCs w:val="24"/>
                <w:lang w:eastAsia="en-GB"/>
              </w:rPr>
            </w:pPr>
            <w:r w:rsidRPr="00404B4F">
              <w:rPr>
                <w:rFonts w:cs="Arial"/>
                <w:b/>
                <w:szCs w:val="24"/>
                <w:lang w:eastAsia="en-GB"/>
              </w:rPr>
              <w:t xml:space="preserve">Movement between </w:t>
            </w:r>
            <w:r w:rsidR="00EC1E32">
              <w:rPr>
                <w:rFonts w:cs="Arial"/>
                <w:b/>
                <w:szCs w:val="24"/>
                <w:lang w:eastAsia="en-GB"/>
              </w:rPr>
              <w:t xml:space="preserve">Quarter </w:t>
            </w:r>
            <w:r w:rsidRPr="00404B4F">
              <w:rPr>
                <w:rFonts w:cs="Arial"/>
                <w:b/>
                <w:szCs w:val="24"/>
                <w:lang w:eastAsia="en-GB"/>
              </w:rPr>
              <w:t>2 and Quarter 1 after Spending Control Freeze</w:t>
            </w:r>
          </w:p>
        </w:tc>
      </w:tr>
      <w:tr w:rsidR="00AC2FFE" w:rsidRPr="00AC2FFE" w14:paraId="3BBC3965" w14:textId="77777777" w:rsidTr="00CB1B58">
        <w:trPr>
          <w:trHeight w:val="276"/>
        </w:trPr>
        <w:tc>
          <w:tcPr>
            <w:tcW w:w="1905" w:type="dxa"/>
            <w:vMerge/>
            <w:tcBorders>
              <w:top w:val="single" w:sz="8" w:space="0" w:color="auto"/>
              <w:left w:val="single" w:sz="8" w:space="0" w:color="auto"/>
              <w:bottom w:val="nil"/>
              <w:right w:val="single" w:sz="8" w:space="0" w:color="auto"/>
            </w:tcBorders>
            <w:vAlign w:val="center"/>
            <w:hideMark/>
          </w:tcPr>
          <w:p w14:paraId="1BA1662B" w14:textId="77777777" w:rsidR="00AC2FFE" w:rsidRPr="00AC2FFE" w:rsidRDefault="00AC2FFE" w:rsidP="00D30E09">
            <w:pPr>
              <w:ind w:left="851" w:hanging="851"/>
              <w:rPr>
                <w:rFonts w:cs="Arial"/>
                <w:szCs w:val="24"/>
                <w:lang w:eastAsia="en-GB"/>
              </w:rPr>
            </w:pPr>
          </w:p>
        </w:tc>
        <w:tc>
          <w:tcPr>
            <w:tcW w:w="1985" w:type="dxa"/>
            <w:vMerge/>
            <w:tcBorders>
              <w:top w:val="single" w:sz="8" w:space="0" w:color="auto"/>
              <w:left w:val="single" w:sz="8" w:space="0" w:color="auto"/>
              <w:bottom w:val="nil"/>
              <w:right w:val="single" w:sz="8" w:space="0" w:color="auto"/>
            </w:tcBorders>
            <w:vAlign w:val="center"/>
            <w:hideMark/>
          </w:tcPr>
          <w:p w14:paraId="19D93B57" w14:textId="77777777" w:rsidR="00AC2FFE" w:rsidRPr="00AC2FFE" w:rsidRDefault="00AC2FFE" w:rsidP="00D30E09">
            <w:pPr>
              <w:ind w:left="851" w:hanging="851"/>
              <w:rPr>
                <w:rFonts w:cs="Arial"/>
                <w:szCs w:val="24"/>
                <w:lang w:eastAsia="en-GB"/>
              </w:rPr>
            </w:pPr>
          </w:p>
        </w:tc>
        <w:tc>
          <w:tcPr>
            <w:tcW w:w="1559" w:type="dxa"/>
            <w:vMerge/>
            <w:tcBorders>
              <w:top w:val="single" w:sz="8" w:space="0" w:color="auto"/>
              <w:left w:val="single" w:sz="8" w:space="0" w:color="auto"/>
              <w:bottom w:val="nil"/>
              <w:right w:val="single" w:sz="8" w:space="0" w:color="auto"/>
            </w:tcBorders>
            <w:vAlign w:val="center"/>
          </w:tcPr>
          <w:p w14:paraId="3DC64987" w14:textId="77777777" w:rsidR="00AC2FFE" w:rsidRPr="00AC2FFE" w:rsidRDefault="00AC2FFE" w:rsidP="00D30E09">
            <w:pPr>
              <w:ind w:left="851" w:hanging="851"/>
              <w:rPr>
                <w:rFonts w:cs="Arial"/>
                <w:szCs w:val="24"/>
                <w:lang w:eastAsia="en-GB"/>
              </w:rPr>
            </w:pPr>
          </w:p>
        </w:tc>
        <w:tc>
          <w:tcPr>
            <w:tcW w:w="2419" w:type="dxa"/>
            <w:vMerge/>
            <w:tcBorders>
              <w:top w:val="single" w:sz="8" w:space="0" w:color="auto"/>
              <w:left w:val="single" w:sz="8" w:space="0" w:color="auto"/>
              <w:bottom w:val="nil"/>
              <w:right w:val="single" w:sz="8" w:space="0" w:color="auto"/>
            </w:tcBorders>
            <w:vAlign w:val="center"/>
          </w:tcPr>
          <w:p w14:paraId="7AFFA079" w14:textId="77777777" w:rsidR="00AC2FFE" w:rsidRPr="00AC2FFE" w:rsidRDefault="00AC2FFE" w:rsidP="00D30E09">
            <w:pPr>
              <w:ind w:left="851" w:hanging="851"/>
              <w:rPr>
                <w:rFonts w:cs="Arial"/>
                <w:szCs w:val="24"/>
                <w:lang w:eastAsia="en-GB"/>
              </w:rPr>
            </w:pPr>
          </w:p>
        </w:tc>
      </w:tr>
      <w:tr w:rsidR="00AC2FFE" w:rsidRPr="00AC2FFE" w14:paraId="355F9CC8" w14:textId="77777777" w:rsidTr="00CB1B58">
        <w:trPr>
          <w:trHeight w:val="276"/>
        </w:trPr>
        <w:tc>
          <w:tcPr>
            <w:tcW w:w="1905" w:type="dxa"/>
            <w:vMerge/>
            <w:tcBorders>
              <w:top w:val="single" w:sz="8" w:space="0" w:color="auto"/>
              <w:left w:val="single" w:sz="8" w:space="0" w:color="auto"/>
              <w:bottom w:val="nil"/>
              <w:right w:val="single" w:sz="8" w:space="0" w:color="auto"/>
            </w:tcBorders>
            <w:vAlign w:val="center"/>
            <w:hideMark/>
          </w:tcPr>
          <w:p w14:paraId="3EF29FB3" w14:textId="77777777" w:rsidR="00AC2FFE" w:rsidRPr="00AC2FFE" w:rsidRDefault="00AC2FFE" w:rsidP="00D30E09">
            <w:pPr>
              <w:ind w:left="851" w:hanging="851"/>
              <w:rPr>
                <w:rFonts w:cs="Arial"/>
                <w:szCs w:val="24"/>
                <w:lang w:eastAsia="en-GB"/>
              </w:rPr>
            </w:pPr>
          </w:p>
        </w:tc>
        <w:tc>
          <w:tcPr>
            <w:tcW w:w="1985" w:type="dxa"/>
            <w:vMerge/>
            <w:tcBorders>
              <w:top w:val="single" w:sz="8" w:space="0" w:color="auto"/>
              <w:left w:val="single" w:sz="8" w:space="0" w:color="auto"/>
              <w:bottom w:val="nil"/>
              <w:right w:val="single" w:sz="8" w:space="0" w:color="auto"/>
            </w:tcBorders>
            <w:vAlign w:val="center"/>
            <w:hideMark/>
          </w:tcPr>
          <w:p w14:paraId="7CE55EDB" w14:textId="77777777" w:rsidR="00AC2FFE" w:rsidRPr="00AC2FFE" w:rsidRDefault="00AC2FFE" w:rsidP="00D30E09">
            <w:pPr>
              <w:ind w:left="851" w:hanging="851"/>
              <w:rPr>
                <w:rFonts w:cs="Arial"/>
                <w:szCs w:val="24"/>
                <w:lang w:eastAsia="en-GB"/>
              </w:rPr>
            </w:pPr>
          </w:p>
        </w:tc>
        <w:tc>
          <w:tcPr>
            <w:tcW w:w="1559" w:type="dxa"/>
            <w:vMerge/>
            <w:tcBorders>
              <w:top w:val="single" w:sz="8" w:space="0" w:color="auto"/>
              <w:left w:val="single" w:sz="8" w:space="0" w:color="auto"/>
              <w:bottom w:val="nil"/>
              <w:right w:val="single" w:sz="8" w:space="0" w:color="auto"/>
            </w:tcBorders>
            <w:vAlign w:val="center"/>
          </w:tcPr>
          <w:p w14:paraId="0674E6AE" w14:textId="77777777" w:rsidR="00AC2FFE" w:rsidRPr="00AC2FFE" w:rsidRDefault="00AC2FFE" w:rsidP="00D30E09">
            <w:pPr>
              <w:ind w:left="851" w:hanging="851"/>
              <w:rPr>
                <w:rFonts w:cs="Arial"/>
                <w:szCs w:val="24"/>
                <w:lang w:eastAsia="en-GB"/>
              </w:rPr>
            </w:pPr>
          </w:p>
        </w:tc>
        <w:tc>
          <w:tcPr>
            <w:tcW w:w="2419" w:type="dxa"/>
            <w:vMerge/>
            <w:tcBorders>
              <w:top w:val="single" w:sz="8" w:space="0" w:color="auto"/>
              <w:left w:val="single" w:sz="8" w:space="0" w:color="auto"/>
              <w:bottom w:val="nil"/>
              <w:right w:val="single" w:sz="8" w:space="0" w:color="auto"/>
            </w:tcBorders>
            <w:vAlign w:val="center"/>
          </w:tcPr>
          <w:p w14:paraId="4DC26313" w14:textId="77777777" w:rsidR="00AC2FFE" w:rsidRPr="00AC2FFE" w:rsidRDefault="00AC2FFE" w:rsidP="00D30E09">
            <w:pPr>
              <w:ind w:left="851" w:hanging="851"/>
              <w:rPr>
                <w:rFonts w:cs="Arial"/>
                <w:szCs w:val="24"/>
                <w:lang w:eastAsia="en-GB"/>
              </w:rPr>
            </w:pPr>
          </w:p>
        </w:tc>
      </w:tr>
      <w:tr w:rsidR="00AC2FFE" w:rsidRPr="00AC2FFE" w14:paraId="379C6B17" w14:textId="77777777" w:rsidTr="00CB1B58">
        <w:trPr>
          <w:trHeight w:val="675"/>
        </w:trPr>
        <w:tc>
          <w:tcPr>
            <w:tcW w:w="1905" w:type="dxa"/>
            <w:vMerge/>
            <w:tcBorders>
              <w:top w:val="single" w:sz="8" w:space="0" w:color="auto"/>
              <w:left w:val="single" w:sz="8" w:space="0" w:color="auto"/>
              <w:bottom w:val="nil"/>
              <w:right w:val="single" w:sz="8" w:space="0" w:color="auto"/>
            </w:tcBorders>
            <w:vAlign w:val="center"/>
            <w:hideMark/>
          </w:tcPr>
          <w:p w14:paraId="300E6612" w14:textId="77777777" w:rsidR="00AC2FFE" w:rsidRPr="00AC2FFE" w:rsidRDefault="00AC2FFE" w:rsidP="00D30E09">
            <w:pPr>
              <w:ind w:left="851" w:hanging="851"/>
              <w:rPr>
                <w:rFonts w:cs="Arial"/>
                <w:szCs w:val="24"/>
                <w:lang w:eastAsia="en-GB"/>
              </w:rPr>
            </w:pPr>
          </w:p>
        </w:tc>
        <w:tc>
          <w:tcPr>
            <w:tcW w:w="1985" w:type="dxa"/>
            <w:vMerge/>
            <w:tcBorders>
              <w:top w:val="single" w:sz="8" w:space="0" w:color="auto"/>
              <w:left w:val="single" w:sz="8" w:space="0" w:color="auto"/>
              <w:bottom w:val="nil"/>
              <w:right w:val="single" w:sz="8" w:space="0" w:color="auto"/>
            </w:tcBorders>
            <w:vAlign w:val="center"/>
            <w:hideMark/>
          </w:tcPr>
          <w:p w14:paraId="336E89F8" w14:textId="77777777" w:rsidR="00AC2FFE" w:rsidRPr="00AC2FFE" w:rsidRDefault="00AC2FFE" w:rsidP="00D30E09">
            <w:pPr>
              <w:ind w:left="851" w:hanging="851"/>
              <w:rPr>
                <w:rFonts w:cs="Arial"/>
                <w:szCs w:val="24"/>
                <w:lang w:eastAsia="en-GB"/>
              </w:rPr>
            </w:pPr>
          </w:p>
        </w:tc>
        <w:tc>
          <w:tcPr>
            <w:tcW w:w="1559" w:type="dxa"/>
            <w:vMerge/>
            <w:tcBorders>
              <w:top w:val="single" w:sz="8" w:space="0" w:color="auto"/>
              <w:left w:val="single" w:sz="8" w:space="0" w:color="auto"/>
              <w:bottom w:val="nil"/>
              <w:right w:val="single" w:sz="8" w:space="0" w:color="auto"/>
            </w:tcBorders>
            <w:vAlign w:val="center"/>
          </w:tcPr>
          <w:p w14:paraId="32AFC93C" w14:textId="77777777" w:rsidR="00AC2FFE" w:rsidRPr="00AC2FFE" w:rsidRDefault="00AC2FFE" w:rsidP="00D30E09">
            <w:pPr>
              <w:ind w:left="851" w:hanging="851"/>
              <w:rPr>
                <w:rFonts w:cs="Arial"/>
                <w:szCs w:val="24"/>
                <w:lang w:eastAsia="en-GB"/>
              </w:rPr>
            </w:pPr>
          </w:p>
        </w:tc>
        <w:tc>
          <w:tcPr>
            <w:tcW w:w="2419" w:type="dxa"/>
            <w:vMerge/>
            <w:tcBorders>
              <w:top w:val="single" w:sz="8" w:space="0" w:color="auto"/>
              <w:left w:val="single" w:sz="8" w:space="0" w:color="auto"/>
              <w:bottom w:val="nil"/>
              <w:right w:val="single" w:sz="8" w:space="0" w:color="auto"/>
            </w:tcBorders>
            <w:vAlign w:val="center"/>
          </w:tcPr>
          <w:p w14:paraId="1CC7C9FB" w14:textId="77777777" w:rsidR="00AC2FFE" w:rsidRPr="00AC2FFE" w:rsidRDefault="00AC2FFE" w:rsidP="00D30E09">
            <w:pPr>
              <w:ind w:left="851" w:hanging="851"/>
              <w:rPr>
                <w:rFonts w:cs="Arial"/>
                <w:szCs w:val="24"/>
                <w:lang w:eastAsia="en-GB"/>
              </w:rPr>
            </w:pPr>
          </w:p>
        </w:tc>
      </w:tr>
      <w:tr w:rsidR="000A1EAF" w:rsidRPr="00AC2FFE" w14:paraId="2C1C1DB5" w14:textId="77777777" w:rsidTr="00CB1B58">
        <w:trPr>
          <w:trHeight w:val="132"/>
        </w:trPr>
        <w:tc>
          <w:tcPr>
            <w:tcW w:w="1905" w:type="dxa"/>
            <w:vMerge/>
            <w:tcBorders>
              <w:top w:val="single" w:sz="8" w:space="0" w:color="auto"/>
              <w:left w:val="single" w:sz="8" w:space="0" w:color="auto"/>
              <w:bottom w:val="nil"/>
              <w:right w:val="single" w:sz="8" w:space="0" w:color="auto"/>
            </w:tcBorders>
            <w:vAlign w:val="center"/>
            <w:hideMark/>
          </w:tcPr>
          <w:p w14:paraId="06C52115" w14:textId="77777777" w:rsidR="00AC2FFE" w:rsidRPr="00AC2FFE" w:rsidRDefault="00AC2FFE" w:rsidP="00D30E09">
            <w:pPr>
              <w:ind w:left="851" w:hanging="851"/>
              <w:rPr>
                <w:rFonts w:cs="Arial"/>
                <w:szCs w:val="24"/>
                <w:lang w:eastAsia="en-GB"/>
              </w:rPr>
            </w:pPr>
          </w:p>
        </w:tc>
        <w:tc>
          <w:tcPr>
            <w:tcW w:w="1985" w:type="dxa"/>
            <w:tcBorders>
              <w:top w:val="nil"/>
              <w:left w:val="nil"/>
              <w:bottom w:val="nil"/>
              <w:right w:val="single" w:sz="8" w:space="0" w:color="auto"/>
            </w:tcBorders>
            <w:shd w:val="clear" w:color="auto" w:fill="auto"/>
            <w:vAlign w:val="center"/>
            <w:hideMark/>
          </w:tcPr>
          <w:p w14:paraId="5392E04B" w14:textId="77777777" w:rsidR="00AC2FFE" w:rsidRPr="00AC2FFE" w:rsidRDefault="00AC2FFE" w:rsidP="00D30E09">
            <w:pPr>
              <w:ind w:left="851" w:hanging="851"/>
              <w:jc w:val="center"/>
              <w:rPr>
                <w:rFonts w:cs="Arial"/>
                <w:b/>
                <w:bCs/>
                <w:szCs w:val="24"/>
                <w:lang w:eastAsia="en-GB"/>
              </w:rPr>
            </w:pPr>
            <w:r w:rsidRPr="00AC2FFE">
              <w:rPr>
                <w:rFonts w:cs="Arial"/>
                <w:b/>
                <w:bCs/>
                <w:szCs w:val="24"/>
                <w:lang w:eastAsia="en-GB"/>
              </w:rPr>
              <w:t>£'000</w:t>
            </w:r>
          </w:p>
        </w:tc>
        <w:tc>
          <w:tcPr>
            <w:tcW w:w="1559" w:type="dxa"/>
            <w:tcBorders>
              <w:top w:val="nil"/>
              <w:left w:val="nil"/>
              <w:bottom w:val="nil"/>
              <w:right w:val="single" w:sz="8" w:space="0" w:color="auto"/>
            </w:tcBorders>
            <w:shd w:val="clear" w:color="auto" w:fill="auto"/>
            <w:vAlign w:val="center"/>
            <w:hideMark/>
          </w:tcPr>
          <w:p w14:paraId="44B389E4" w14:textId="77777777" w:rsidR="00AC2FFE" w:rsidRPr="00AC2FFE" w:rsidRDefault="00AC2FFE" w:rsidP="00D30E09">
            <w:pPr>
              <w:ind w:left="851" w:hanging="851"/>
              <w:jc w:val="center"/>
              <w:rPr>
                <w:rFonts w:cs="Arial"/>
                <w:b/>
                <w:bCs/>
                <w:szCs w:val="24"/>
                <w:lang w:eastAsia="en-GB"/>
              </w:rPr>
            </w:pPr>
            <w:r w:rsidRPr="00AC2FFE">
              <w:rPr>
                <w:rFonts w:cs="Arial"/>
                <w:b/>
                <w:bCs/>
                <w:szCs w:val="24"/>
                <w:lang w:eastAsia="en-GB"/>
              </w:rPr>
              <w:t>£'000</w:t>
            </w:r>
          </w:p>
        </w:tc>
        <w:tc>
          <w:tcPr>
            <w:tcW w:w="2419" w:type="dxa"/>
            <w:tcBorders>
              <w:top w:val="nil"/>
              <w:left w:val="nil"/>
              <w:bottom w:val="nil"/>
              <w:right w:val="single" w:sz="8" w:space="0" w:color="auto"/>
            </w:tcBorders>
            <w:shd w:val="clear" w:color="auto" w:fill="auto"/>
            <w:vAlign w:val="center"/>
            <w:hideMark/>
          </w:tcPr>
          <w:p w14:paraId="36BDD834" w14:textId="77777777" w:rsidR="00AC2FFE" w:rsidRPr="00AC2FFE" w:rsidRDefault="00AC2FFE" w:rsidP="00D30E09">
            <w:pPr>
              <w:ind w:left="851" w:hanging="851"/>
              <w:jc w:val="center"/>
              <w:rPr>
                <w:rFonts w:cs="Arial"/>
                <w:b/>
                <w:bCs/>
                <w:szCs w:val="24"/>
                <w:lang w:eastAsia="en-GB"/>
              </w:rPr>
            </w:pPr>
            <w:r w:rsidRPr="00AC2FFE">
              <w:rPr>
                <w:rFonts w:cs="Arial"/>
                <w:b/>
                <w:bCs/>
                <w:szCs w:val="24"/>
                <w:lang w:eastAsia="en-GB"/>
              </w:rPr>
              <w:t>£'000</w:t>
            </w:r>
          </w:p>
        </w:tc>
      </w:tr>
      <w:tr w:rsidR="00AC2FFE" w:rsidRPr="00AC2FFE" w14:paraId="07C747EA" w14:textId="77777777" w:rsidTr="00CB1B58">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hideMark/>
          </w:tcPr>
          <w:p w14:paraId="4DAC61EC" w14:textId="77777777" w:rsidR="00AC2FFE" w:rsidRPr="00AC2FFE" w:rsidRDefault="00AC2FFE" w:rsidP="00D30E09">
            <w:pPr>
              <w:ind w:left="851" w:hanging="851"/>
              <w:rPr>
                <w:rFonts w:cs="Arial"/>
                <w:szCs w:val="24"/>
                <w:lang w:eastAsia="en-GB"/>
              </w:rPr>
            </w:pPr>
            <w:r w:rsidRPr="00AC2FFE">
              <w:rPr>
                <w:rFonts w:cs="Arial"/>
                <w:szCs w:val="24"/>
                <w:lang w:eastAsia="en-GB"/>
              </w:rPr>
              <w:t>Adults</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14:paraId="69358B46" w14:textId="1F8EA4E5" w:rsidR="00AC2FFE" w:rsidRPr="00AC2FFE" w:rsidRDefault="00AC2FFE" w:rsidP="00D30E09">
            <w:pPr>
              <w:ind w:left="851" w:hanging="851"/>
              <w:jc w:val="center"/>
              <w:rPr>
                <w:rFonts w:cs="Arial"/>
                <w:color w:val="000000"/>
                <w:sz w:val="22"/>
                <w:szCs w:val="22"/>
                <w:lang w:eastAsia="en-GB"/>
              </w:rPr>
            </w:pPr>
            <w:r w:rsidRPr="00AC2FFE">
              <w:rPr>
                <w:rFonts w:cs="Arial"/>
                <w:color w:val="000000"/>
                <w:sz w:val="22"/>
                <w:szCs w:val="24"/>
                <w:lang w:eastAsia="en-GB"/>
              </w:rPr>
              <w:t> </w:t>
            </w:r>
            <w:r w:rsidR="009C50BF">
              <w:rPr>
                <w:rFonts w:cs="Arial"/>
                <w:color w:val="000000"/>
                <w:sz w:val="22"/>
                <w:szCs w:val="24"/>
                <w:lang w:eastAsia="en-GB"/>
              </w:rPr>
              <w:t>439</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62CF5E3" w14:textId="77777777" w:rsidR="00AC2FFE" w:rsidRPr="00AC2FFE" w:rsidRDefault="00AC2FFE" w:rsidP="00D30E09">
            <w:pPr>
              <w:ind w:left="851" w:hanging="851"/>
              <w:jc w:val="center"/>
              <w:rPr>
                <w:rFonts w:cs="Arial"/>
                <w:color w:val="000000"/>
                <w:sz w:val="22"/>
                <w:szCs w:val="22"/>
                <w:lang w:eastAsia="en-GB"/>
              </w:rPr>
            </w:pPr>
            <w:r w:rsidRPr="00AC2FFE">
              <w:rPr>
                <w:rFonts w:cs="Arial"/>
                <w:color w:val="000000"/>
                <w:sz w:val="22"/>
                <w:szCs w:val="24"/>
                <w:lang w:eastAsia="en-GB"/>
              </w:rPr>
              <w:t xml:space="preserve">     -</w:t>
            </w:r>
          </w:p>
        </w:tc>
        <w:tc>
          <w:tcPr>
            <w:tcW w:w="2419" w:type="dxa"/>
            <w:tcBorders>
              <w:top w:val="single" w:sz="4" w:space="0" w:color="auto"/>
              <w:left w:val="nil"/>
              <w:bottom w:val="single" w:sz="4" w:space="0" w:color="auto"/>
              <w:right w:val="single" w:sz="4" w:space="0" w:color="auto"/>
            </w:tcBorders>
            <w:shd w:val="clear" w:color="000000" w:fill="FFFFFF"/>
            <w:noWrap/>
            <w:vAlign w:val="bottom"/>
          </w:tcPr>
          <w:p w14:paraId="45E1F02A" w14:textId="3E58AB8D" w:rsidR="00AC2FFE" w:rsidRPr="00AC2FFE" w:rsidRDefault="009C50BF" w:rsidP="00D30E09">
            <w:pPr>
              <w:ind w:left="851" w:hanging="851"/>
              <w:jc w:val="center"/>
              <w:rPr>
                <w:rFonts w:cs="Arial"/>
                <w:color w:val="000000"/>
                <w:sz w:val="22"/>
                <w:szCs w:val="22"/>
                <w:lang w:eastAsia="en-GB"/>
              </w:rPr>
            </w:pPr>
            <w:r>
              <w:rPr>
                <w:rFonts w:cs="Arial"/>
                <w:color w:val="000000"/>
                <w:sz w:val="22"/>
                <w:szCs w:val="24"/>
                <w:lang w:eastAsia="en-GB"/>
              </w:rPr>
              <w:t>439</w:t>
            </w:r>
          </w:p>
        </w:tc>
      </w:tr>
      <w:tr w:rsidR="00AC2FFE" w:rsidRPr="00AC2FFE" w14:paraId="608691E9" w14:textId="77777777" w:rsidTr="00CB1B58">
        <w:trPr>
          <w:trHeight w:val="300"/>
        </w:trPr>
        <w:tc>
          <w:tcPr>
            <w:tcW w:w="1905" w:type="dxa"/>
            <w:tcBorders>
              <w:top w:val="nil"/>
              <w:left w:val="single" w:sz="4" w:space="0" w:color="auto"/>
              <w:bottom w:val="single" w:sz="4" w:space="0" w:color="auto"/>
              <w:right w:val="single" w:sz="4" w:space="0" w:color="auto"/>
            </w:tcBorders>
            <w:shd w:val="clear" w:color="auto" w:fill="auto"/>
            <w:hideMark/>
          </w:tcPr>
          <w:p w14:paraId="031E8885" w14:textId="77777777" w:rsidR="00AC2FFE" w:rsidRPr="00AC2FFE" w:rsidRDefault="00AC2FFE" w:rsidP="00D30E09">
            <w:pPr>
              <w:ind w:left="851" w:hanging="851"/>
              <w:rPr>
                <w:rFonts w:cs="Arial"/>
                <w:szCs w:val="24"/>
                <w:lang w:eastAsia="en-GB"/>
              </w:rPr>
            </w:pPr>
            <w:r w:rsidRPr="00AC2FFE">
              <w:rPr>
                <w:rFonts w:cs="Arial"/>
                <w:szCs w:val="24"/>
                <w:lang w:eastAsia="en-GB"/>
              </w:rPr>
              <w:t>Public Health</w:t>
            </w:r>
          </w:p>
        </w:tc>
        <w:tc>
          <w:tcPr>
            <w:tcW w:w="1985" w:type="dxa"/>
            <w:tcBorders>
              <w:top w:val="nil"/>
              <w:left w:val="nil"/>
              <w:bottom w:val="single" w:sz="4" w:space="0" w:color="auto"/>
              <w:right w:val="single" w:sz="4" w:space="0" w:color="auto"/>
            </w:tcBorders>
            <w:shd w:val="clear" w:color="000000" w:fill="FFFFFF"/>
            <w:noWrap/>
            <w:vAlign w:val="bottom"/>
            <w:hideMark/>
          </w:tcPr>
          <w:p w14:paraId="456805BF" w14:textId="75DF0562" w:rsidR="00AC2FFE" w:rsidRPr="00AC2FFE" w:rsidRDefault="00AC2FFE" w:rsidP="00D30E09">
            <w:pPr>
              <w:ind w:left="851" w:hanging="851"/>
              <w:jc w:val="center"/>
              <w:rPr>
                <w:rFonts w:cs="Arial"/>
                <w:color w:val="000000"/>
                <w:sz w:val="22"/>
                <w:szCs w:val="22"/>
                <w:lang w:eastAsia="en-GB"/>
              </w:rPr>
            </w:pPr>
            <w:r w:rsidRPr="00AC2FFE">
              <w:rPr>
                <w:rFonts w:cs="Arial"/>
                <w:color w:val="000000"/>
                <w:sz w:val="22"/>
                <w:szCs w:val="24"/>
                <w:lang w:eastAsia="en-GB"/>
              </w:rPr>
              <w:t> </w:t>
            </w:r>
            <w:r w:rsidR="00627173">
              <w:rPr>
                <w:rFonts w:cs="Arial"/>
                <w:color w:val="000000"/>
                <w:sz w:val="22"/>
                <w:szCs w:val="24"/>
                <w:lang w:eastAsia="en-GB"/>
              </w:rPr>
              <w:t>-</w:t>
            </w:r>
          </w:p>
        </w:tc>
        <w:tc>
          <w:tcPr>
            <w:tcW w:w="1559" w:type="dxa"/>
            <w:tcBorders>
              <w:top w:val="nil"/>
              <w:left w:val="nil"/>
              <w:bottom w:val="single" w:sz="4" w:space="0" w:color="auto"/>
              <w:right w:val="single" w:sz="4" w:space="0" w:color="auto"/>
            </w:tcBorders>
            <w:shd w:val="clear" w:color="000000" w:fill="FFFFFF"/>
            <w:noWrap/>
            <w:vAlign w:val="bottom"/>
            <w:hideMark/>
          </w:tcPr>
          <w:p w14:paraId="42B14967" w14:textId="77777777" w:rsidR="00AC2FFE" w:rsidRPr="00AC2FFE" w:rsidRDefault="00AC2FFE" w:rsidP="00D30E09">
            <w:pPr>
              <w:ind w:left="851" w:hanging="851"/>
              <w:jc w:val="center"/>
              <w:rPr>
                <w:rFonts w:cs="Arial"/>
                <w:color w:val="000000"/>
                <w:sz w:val="22"/>
                <w:szCs w:val="22"/>
                <w:lang w:eastAsia="en-GB"/>
              </w:rPr>
            </w:pPr>
            <w:r w:rsidRPr="00AC2FFE">
              <w:rPr>
                <w:rFonts w:cs="Arial"/>
                <w:color w:val="000000"/>
                <w:sz w:val="22"/>
                <w:szCs w:val="24"/>
                <w:lang w:eastAsia="en-GB"/>
              </w:rPr>
              <w:t xml:space="preserve">     -</w:t>
            </w:r>
          </w:p>
        </w:tc>
        <w:tc>
          <w:tcPr>
            <w:tcW w:w="2419" w:type="dxa"/>
            <w:tcBorders>
              <w:top w:val="nil"/>
              <w:left w:val="nil"/>
              <w:bottom w:val="single" w:sz="4" w:space="0" w:color="auto"/>
              <w:right w:val="single" w:sz="4" w:space="0" w:color="auto"/>
            </w:tcBorders>
            <w:shd w:val="clear" w:color="000000" w:fill="FFFFFF"/>
            <w:noWrap/>
            <w:vAlign w:val="bottom"/>
          </w:tcPr>
          <w:p w14:paraId="2659DD2B" w14:textId="07DE7EA3" w:rsidR="00AC2FFE" w:rsidRPr="00AC2FFE" w:rsidRDefault="00627173" w:rsidP="00D30E09">
            <w:pPr>
              <w:ind w:left="851" w:hanging="851"/>
              <w:jc w:val="center"/>
              <w:rPr>
                <w:rFonts w:cs="Arial"/>
                <w:color w:val="000000"/>
                <w:sz w:val="22"/>
                <w:szCs w:val="22"/>
                <w:lang w:eastAsia="en-GB"/>
              </w:rPr>
            </w:pPr>
            <w:r>
              <w:rPr>
                <w:rFonts w:cs="Arial"/>
                <w:color w:val="FF0000"/>
                <w:sz w:val="22"/>
                <w:szCs w:val="24"/>
                <w:lang w:eastAsia="en-GB"/>
              </w:rPr>
              <w:t>-</w:t>
            </w:r>
          </w:p>
        </w:tc>
      </w:tr>
      <w:tr w:rsidR="00AC2FFE" w:rsidRPr="00AC2FFE" w14:paraId="4F992B6D" w14:textId="77777777" w:rsidTr="00CB1B58">
        <w:trPr>
          <w:trHeight w:val="300"/>
        </w:trPr>
        <w:tc>
          <w:tcPr>
            <w:tcW w:w="1905" w:type="dxa"/>
            <w:tcBorders>
              <w:top w:val="nil"/>
              <w:left w:val="single" w:sz="4" w:space="0" w:color="auto"/>
              <w:bottom w:val="single" w:sz="4" w:space="0" w:color="auto"/>
              <w:right w:val="single" w:sz="4" w:space="0" w:color="auto"/>
            </w:tcBorders>
            <w:shd w:val="clear" w:color="auto" w:fill="auto"/>
            <w:hideMark/>
          </w:tcPr>
          <w:p w14:paraId="259888F0" w14:textId="77777777" w:rsidR="00AC2FFE" w:rsidRPr="00AC2FFE" w:rsidRDefault="00AC2FFE" w:rsidP="00D30E09">
            <w:pPr>
              <w:ind w:left="851" w:hanging="851"/>
              <w:rPr>
                <w:rFonts w:cs="Arial"/>
                <w:szCs w:val="24"/>
                <w:lang w:eastAsia="en-GB"/>
              </w:rPr>
            </w:pPr>
            <w:r w:rsidRPr="00AC2FFE">
              <w:rPr>
                <w:rFonts w:cs="Arial"/>
                <w:szCs w:val="24"/>
                <w:lang w:eastAsia="en-GB"/>
              </w:rPr>
              <w:t>Children</w:t>
            </w:r>
          </w:p>
        </w:tc>
        <w:tc>
          <w:tcPr>
            <w:tcW w:w="1985" w:type="dxa"/>
            <w:tcBorders>
              <w:top w:val="nil"/>
              <w:left w:val="nil"/>
              <w:bottom w:val="single" w:sz="4" w:space="0" w:color="auto"/>
              <w:right w:val="single" w:sz="4" w:space="0" w:color="auto"/>
            </w:tcBorders>
            <w:shd w:val="clear" w:color="000000" w:fill="FFFFFF"/>
            <w:noWrap/>
            <w:vAlign w:val="bottom"/>
            <w:hideMark/>
          </w:tcPr>
          <w:p w14:paraId="67CA2B3D" w14:textId="6ABA0933" w:rsidR="00AC2FFE" w:rsidRPr="00AC2FFE" w:rsidRDefault="00AC2FFE" w:rsidP="00D30E09">
            <w:pPr>
              <w:ind w:left="851" w:hanging="851"/>
              <w:jc w:val="center"/>
              <w:rPr>
                <w:rFonts w:cs="Arial"/>
                <w:color w:val="000000"/>
                <w:sz w:val="22"/>
                <w:szCs w:val="22"/>
                <w:lang w:eastAsia="en-GB"/>
              </w:rPr>
            </w:pPr>
            <w:r w:rsidRPr="00AC2FFE">
              <w:rPr>
                <w:rFonts w:cs="Arial"/>
                <w:color w:val="000000"/>
                <w:sz w:val="22"/>
                <w:szCs w:val="24"/>
                <w:lang w:eastAsia="en-GB"/>
              </w:rPr>
              <w:t> </w:t>
            </w:r>
            <w:r w:rsidR="009C50BF">
              <w:rPr>
                <w:rFonts w:cs="Arial"/>
                <w:color w:val="000000"/>
                <w:sz w:val="22"/>
                <w:szCs w:val="24"/>
                <w:lang w:eastAsia="en-GB"/>
              </w:rPr>
              <w:t>3,001</w:t>
            </w:r>
          </w:p>
        </w:tc>
        <w:tc>
          <w:tcPr>
            <w:tcW w:w="1559" w:type="dxa"/>
            <w:tcBorders>
              <w:top w:val="nil"/>
              <w:left w:val="nil"/>
              <w:bottom w:val="single" w:sz="4" w:space="0" w:color="auto"/>
              <w:right w:val="single" w:sz="4" w:space="0" w:color="auto"/>
            </w:tcBorders>
            <w:shd w:val="clear" w:color="000000" w:fill="FFFFFF"/>
            <w:noWrap/>
            <w:vAlign w:val="bottom"/>
            <w:hideMark/>
          </w:tcPr>
          <w:p w14:paraId="51E9AB03" w14:textId="7DFFE694" w:rsidR="00AC2FFE" w:rsidRPr="00AC2FFE" w:rsidRDefault="009C50BF" w:rsidP="00D30E09">
            <w:pPr>
              <w:ind w:left="851" w:hanging="851"/>
              <w:jc w:val="center"/>
              <w:rPr>
                <w:rFonts w:cs="Arial"/>
                <w:color w:val="000000"/>
                <w:sz w:val="22"/>
                <w:szCs w:val="22"/>
                <w:lang w:eastAsia="en-GB"/>
              </w:rPr>
            </w:pPr>
            <w:r>
              <w:rPr>
                <w:rFonts w:cs="Arial"/>
                <w:color w:val="000000"/>
                <w:sz w:val="22"/>
                <w:szCs w:val="24"/>
                <w:lang w:eastAsia="en-GB"/>
              </w:rPr>
              <w:t>3,560</w:t>
            </w:r>
          </w:p>
        </w:tc>
        <w:tc>
          <w:tcPr>
            <w:tcW w:w="2419" w:type="dxa"/>
            <w:tcBorders>
              <w:top w:val="nil"/>
              <w:left w:val="nil"/>
              <w:bottom w:val="single" w:sz="4" w:space="0" w:color="auto"/>
              <w:right w:val="single" w:sz="4" w:space="0" w:color="auto"/>
            </w:tcBorders>
            <w:shd w:val="clear" w:color="000000" w:fill="FFFFFF"/>
            <w:noWrap/>
            <w:vAlign w:val="bottom"/>
            <w:hideMark/>
          </w:tcPr>
          <w:p w14:paraId="0C52627E" w14:textId="5D3DC209" w:rsidR="00AC2FFE" w:rsidRPr="00AC2FFE" w:rsidRDefault="00AC2FFE" w:rsidP="00D30E09">
            <w:pPr>
              <w:ind w:left="851" w:hanging="851"/>
              <w:jc w:val="center"/>
              <w:rPr>
                <w:rFonts w:cs="Arial"/>
                <w:color w:val="000000"/>
                <w:sz w:val="22"/>
                <w:szCs w:val="22"/>
                <w:lang w:eastAsia="en-GB"/>
              </w:rPr>
            </w:pPr>
            <w:r w:rsidRPr="00AC2FFE">
              <w:rPr>
                <w:rFonts w:cs="Arial"/>
                <w:color w:val="000000"/>
                <w:sz w:val="22"/>
                <w:szCs w:val="24"/>
                <w:lang w:eastAsia="en-GB"/>
              </w:rPr>
              <w:t> (</w:t>
            </w:r>
            <w:r w:rsidR="009C50BF">
              <w:rPr>
                <w:rFonts w:cs="Arial"/>
                <w:color w:val="000000"/>
                <w:sz w:val="22"/>
                <w:szCs w:val="24"/>
                <w:lang w:eastAsia="en-GB"/>
              </w:rPr>
              <w:t>559</w:t>
            </w:r>
            <w:r w:rsidRPr="00AC2FFE">
              <w:rPr>
                <w:rFonts w:cs="Arial"/>
                <w:color w:val="000000"/>
                <w:sz w:val="22"/>
                <w:szCs w:val="24"/>
                <w:lang w:eastAsia="en-GB"/>
              </w:rPr>
              <w:t>)</w:t>
            </w:r>
          </w:p>
        </w:tc>
      </w:tr>
      <w:tr w:rsidR="00AC2FFE" w:rsidRPr="00AC2FFE" w14:paraId="7E033EE5" w14:textId="77777777" w:rsidTr="00CB1B58">
        <w:trPr>
          <w:trHeight w:val="315"/>
        </w:trPr>
        <w:tc>
          <w:tcPr>
            <w:tcW w:w="1905" w:type="dxa"/>
            <w:tcBorders>
              <w:top w:val="nil"/>
              <w:left w:val="single" w:sz="4" w:space="0" w:color="auto"/>
              <w:bottom w:val="single" w:sz="4" w:space="0" w:color="auto"/>
              <w:right w:val="single" w:sz="4" w:space="0" w:color="auto"/>
            </w:tcBorders>
            <w:shd w:val="clear" w:color="auto" w:fill="auto"/>
            <w:hideMark/>
          </w:tcPr>
          <w:p w14:paraId="4223E285" w14:textId="77777777" w:rsidR="00AC2FFE" w:rsidRPr="00AC2FFE" w:rsidRDefault="00AC2FFE" w:rsidP="00D30E09">
            <w:pPr>
              <w:ind w:left="851" w:hanging="851"/>
              <w:rPr>
                <w:rFonts w:cs="Arial"/>
                <w:b/>
                <w:bCs/>
                <w:szCs w:val="24"/>
                <w:lang w:eastAsia="en-GB"/>
              </w:rPr>
            </w:pPr>
            <w:r w:rsidRPr="00AC2FFE">
              <w:rPr>
                <w:rFonts w:cs="Arial"/>
                <w:b/>
                <w:bCs/>
                <w:szCs w:val="24"/>
                <w:lang w:eastAsia="en-GB"/>
              </w:rPr>
              <w:t>Total</w:t>
            </w:r>
          </w:p>
        </w:tc>
        <w:tc>
          <w:tcPr>
            <w:tcW w:w="1985" w:type="dxa"/>
            <w:tcBorders>
              <w:top w:val="nil"/>
              <w:left w:val="nil"/>
              <w:bottom w:val="single" w:sz="4" w:space="0" w:color="auto"/>
              <w:right w:val="single" w:sz="4" w:space="0" w:color="auto"/>
            </w:tcBorders>
            <w:shd w:val="clear" w:color="000000" w:fill="FFFFFF"/>
            <w:noWrap/>
            <w:vAlign w:val="bottom"/>
            <w:hideMark/>
          </w:tcPr>
          <w:p w14:paraId="75B5CDB2" w14:textId="2549C04B" w:rsidR="00AC2FFE" w:rsidRPr="00AC2FFE" w:rsidRDefault="00AC2FFE" w:rsidP="00D30E09">
            <w:pPr>
              <w:ind w:left="851" w:hanging="851"/>
              <w:jc w:val="center"/>
              <w:rPr>
                <w:rFonts w:cs="Arial"/>
                <w:b/>
                <w:bCs/>
                <w:color w:val="000000"/>
                <w:sz w:val="22"/>
                <w:szCs w:val="22"/>
                <w:lang w:eastAsia="en-GB"/>
              </w:rPr>
            </w:pPr>
            <w:r w:rsidRPr="00AC2FFE">
              <w:rPr>
                <w:rFonts w:cs="Arial"/>
                <w:b/>
                <w:bCs/>
                <w:color w:val="000000"/>
                <w:sz w:val="22"/>
                <w:szCs w:val="24"/>
                <w:lang w:eastAsia="en-GB"/>
              </w:rPr>
              <w:t> 3,</w:t>
            </w:r>
            <w:r w:rsidR="009C50BF">
              <w:rPr>
                <w:rFonts w:cs="Arial"/>
                <w:b/>
                <w:bCs/>
                <w:color w:val="000000"/>
                <w:sz w:val="22"/>
                <w:szCs w:val="24"/>
                <w:lang w:eastAsia="en-GB"/>
              </w:rPr>
              <w:t>440</w:t>
            </w:r>
          </w:p>
        </w:tc>
        <w:tc>
          <w:tcPr>
            <w:tcW w:w="1559" w:type="dxa"/>
            <w:tcBorders>
              <w:top w:val="nil"/>
              <w:left w:val="nil"/>
              <w:bottom w:val="single" w:sz="4" w:space="0" w:color="auto"/>
              <w:right w:val="single" w:sz="4" w:space="0" w:color="auto"/>
            </w:tcBorders>
            <w:shd w:val="clear" w:color="000000" w:fill="FFFFFF"/>
            <w:noWrap/>
            <w:vAlign w:val="bottom"/>
            <w:hideMark/>
          </w:tcPr>
          <w:p w14:paraId="5AA12D82" w14:textId="1962BBBD" w:rsidR="00AC2FFE" w:rsidRPr="00AC2FFE" w:rsidRDefault="009C50BF" w:rsidP="00D30E09">
            <w:pPr>
              <w:ind w:left="851" w:hanging="851"/>
              <w:jc w:val="center"/>
              <w:rPr>
                <w:rFonts w:cs="Arial"/>
                <w:b/>
                <w:bCs/>
                <w:color w:val="000000"/>
                <w:sz w:val="22"/>
                <w:szCs w:val="22"/>
                <w:lang w:eastAsia="en-GB"/>
              </w:rPr>
            </w:pPr>
            <w:r>
              <w:rPr>
                <w:rFonts w:cs="Arial"/>
                <w:b/>
                <w:bCs/>
                <w:color w:val="000000"/>
                <w:sz w:val="22"/>
                <w:szCs w:val="24"/>
                <w:lang w:eastAsia="en-GB"/>
              </w:rPr>
              <w:t>3,560</w:t>
            </w:r>
          </w:p>
        </w:tc>
        <w:tc>
          <w:tcPr>
            <w:tcW w:w="2419" w:type="dxa"/>
            <w:tcBorders>
              <w:top w:val="nil"/>
              <w:left w:val="nil"/>
              <w:bottom w:val="single" w:sz="4" w:space="0" w:color="auto"/>
              <w:right w:val="single" w:sz="4" w:space="0" w:color="auto"/>
            </w:tcBorders>
            <w:shd w:val="clear" w:color="000000" w:fill="FFFFFF"/>
            <w:noWrap/>
            <w:vAlign w:val="bottom"/>
            <w:hideMark/>
          </w:tcPr>
          <w:p w14:paraId="745BBA33" w14:textId="7BC907DD" w:rsidR="00AC2FFE" w:rsidRPr="00AC2FFE" w:rsidRDefault="00AC2FFE" w:rsidP="00D30E09">
            <w:pPr>
              <w:ind w:left="851" w:hanging="851"/>
              <w:jc w:val="center"/>
              <w:rPr>
                <w:rFonts w:cs="Arial"/>
                <w:b/>
                <w:bCs/>
                <w:color w:val="000000"/>
                <w:sz w:val="22"/>
                <w:szCs w:val="22"/>
                <w:lang w:eastAsia="en-GB"/>
              </w:rPr>
            </w:pPr>
            <w:r w:rsidRPr="00AC2FFE">
              <w:rPr>
                <w:rFonts w:cs="Arial"/>
                <w:b/>
                <w:bCs/>
                <w:color w:val="000000"/>
                <w:sz w:val="22"/>
                <w:szCs w:val="24"/>
                <w:lang w:eastAsia="en-GB"/>
              </w:rPr>
              <w:t> (</w:t>
            </w:r>
            <w:r w:rsidR="009C50BF">
              <w:rPr>
                <w:rFonts w:cs="Arial"/>
                <w:b/>
                <w:bCs/>
                <w:color w:val="000000"/>
                <w:sz w:val="22"/>
                <w:szCs w:val="24"/>
                <w:lang w:eastAsia="en-GB"/>
              </w:rPr>
              <w:t>120</w:t>
            </w:r>
            <w:r w:rsidRPr="00AC2FFE">
              <w:rPr>
                <w:rFonts w:cs="Arial"/>
                <w:b/>
                <w:bCs/>
                <w:color w:val="000000"/>
                <w:sz w:val="22"/>
                <w:szCs w:val="24"/>
                <w:lang w:eastAsia="en-GB"/>
              </w:rPr>
              <w:t>)</w:t>
            </w:r>
          </w:p>
        </w:tc>
      </w:tr>
    </w:tbl>
    <w:p w14:paraId="5717FC59" w14:textId="0AA42866" w:rsidR="00AC2FFE" w:rsidRDefault="00AC2FFE" w:rsidP="00D30E09">
      <w:pPr>
        <w:spacing w:after="120"/>
        <w:ind w:left="851" w:hanging="851"/>
        <w:jc w:val="both"/>
        <w:rPr>
          <w:bCs/>
        </w:rPr>
      </w:pPr>
    </w:p>
    <w:p w14:paraId="486B3E80" w14:textId="55499E13" w:rsidR="004034F2" w:rsidRPr="00ED4141" w:rsidRDefault="004034F2" w:rsidP="00CB1B58">
      <w:pPr>
        <w:spacing w:after="120"/>
        <w:ind w:left="851" w:hanging="142"/>
        <w:jc w:val="both"/>
        <w:rPr>
          <w:bCs/>
        </w:rPr>
      </w:pPr>
      <w:r w:rsidRPr="00ED4141">
        <w:rPr>
          <w:bCs/>
        </w:rPr>
        <w:t>ADULT SERVICES</w:t>
      </w:r>
    </w:p>
    <w:p w14:paraId="78AA5768" w14:textId="33F5E9EC" w:rsidR="004034F2" w:rsidRDefault="004034F2" w:rsidP="00404B4F">
      <w:pPr>
        <w:pStyle w:val="ListParagraph"/>
        <w:numPr>
          <w:ilvl w:val="1"/>
          <w:numId w:val="64"/>
        </w:numPr>
        <w:spacing w:after="120"/>
        <w:ind w:left="709" w:hanging="709"/>
        <w:jc w:val="both"/>
        <w:rPr>
          <w:bCs/>
        </w:rPr>
      </w:pPr>
      <w:r w:rsidRPr="00270959">
        <w:rPr>
          <w:bCs/>
        </w:rPr>
        <w:t>Adults Services are reporting a</w:t>
      </w:r>
      <w:r w:rsidR="009C50BF">
        <w:rPr>
          <w:bCs/>
        </w:rPr>
        <w:t>n overspend of £439k</w:t>
      </w:r>
      <w:r w:rsidR="000B71CE">
        <w:rPr>
          <w:bCs/>
        </w:rPr>
        <w:t xml:space="preserve"> (an overspend of £4.9m before identified mitigation including use of the ASC grant)</w:t>
      </w:r>
      <w:r w:rsidR="009C50BF">
        <w:rPr>
          <w:bCs/>
        </w:rPr>
        <w:t xml:space="preserve">, an </w:t>
      </w:r>
      <w:proofErr w:type="gramStart"/>
      <w:r w:rsidR="009C50BF">
        <w:rPr>
          <w:bCs/>
        </w:rPr>
        <w:t xml:space="preserve">adverse </w:t>
      </w:r>
      <w:r w:rsidRPr="00270959">
        <w:rPr>
          <w:bCs/>
        </w:rPr>
        <w:t xml:space="preserve"> position</w:t>
      </w:r>
      <w:proofErr w:type="gramEnd"/>
      <w:r w:rsidR="009C50BF">
        <w:rPr>
          <w:bCs/>
        </w:rPr>
        <w:t xml:space="preserve"> of £439k when compare</w:t>
      </w:r>
      <w:r w:rsidR="004F496B">
        <w:rPr>
          <w:bCs/>
        </w:rPr>
        <w:t>d</w:t>
      </w:r>
      <w:r w:rsidR="009C50BF">
        <w:rPr>
          <w:bCs/>
        </w:rPr>
        <w:t xml:space="preserve"> to quarter1</w:t>
      </w:r>
      <w:r w:rsidRPr="00270959">
        <w:rPr>
          <w:bCs/>
        </w:rPr>
        <w:t>. Th</w:t>
      </w:r>
      <w:r w:rsidR="009C50BF">
        <w:rPr>
          <w:bCs/>
        </w:rPr>
        <w:t xml:space="preserve">is </w:t>
      </w:r>
      <w:r w:rsidRPr="00270959">
        <w:rPr>
          <w:bCs/>
        </w:rPr>
        <w:t xml:space="preserve">position is achieved after assuming a drawdown from reserves of </w:t>
      </w:r>
      <w:r w:rsidR="008D3348" w:rsidRPr="00270959">
        <w:rPr>
          <w:bCs/>
        </w:rPr>
        <w:t>(</w:t>
      </w:r>
      <w:r w:rsidRPr="00270959">
        <w:rPr>
          <w:bCs/>
        </w:rPr>
        <w:t>£380k</w:t>
      </w:r>
      <w:r w:rsidR="008D3348" w:rsidRPr="00270959">
        <w:rPr>
          <w:bCs/>
        </w:rPr>
        <w:t>)</w:t>
      </w:r>
      <w:r w:rsidR="00C00C34" w:rsidRPr="00270959">
        <w:rPr>
          <w:bCs/>
        </w:rPr>
        <w:t xml:space="preserve"> as detailed in appendix 3 to this report.</w:t>
      </w:r>
    </w:p>
    <w:p w14:paraId="47F8661F" w14:textId="721B2B42" w:rsidR="00652F66" w:rsidRDefault="00652F66" w:rsidP="00404B4F">
      <w:pPr>
        <w:pStyle w:val="ListParagraph"/>
        <w:numPr>
          <w:ilvl w:val="1"/>
          <w:numId w:val="64"/>
        </w:numPr>
        <w:spacing w:after="120"/>
        <w:ind w:left="709" w:hanging="709"/>
        <w:jc w:val="both"/>
        <w:rPr>
          <w:bCs/>
        </w:rPr>
      </w:pPr>
      <w:r w:rsidRPr="00652F66">
        <w:rPr>
          <w:bCs/>
        </w:rPr>
        <w:t>This adverse variance represents increased pressure against purchasing budgets, especially relating to increased weeks of care required for residential and nursing placements</w:t>
      </w:r>
      <w:r>
        <w:rPr>
          <w:bCs/>
        </w:rPr>
        <w:t>.</w:t>
      </w:r>
    </w:p>
    <w:p w14:paraId="2CEAE105" w14:textId="6AA50410" w:rsidR="00652F66" w:rsidRPr="00270959" w:rsidRDefault="00652F66" w:rsidP="00404B4F">
      <w:pPr>
        <w:pStyle w:val="ListParagraph"/>
        <w:numPr>
          <w:ilvl w:val="1"/>
          <w:numId w:val="64"/>
        </w:numPr>
        <w:spacing w:after="120"/>
        <w:ind w:left="709" w:hanging="709"/>
        <w:jc w:val="both"/>
        <w:rPr>
          <w:bCs/>
        </w:rPr>
      </w:pPr>
      <w:r w:rsidRPr="00652F66">
        <w:rPr>
          <w:bCs/>
        </w:rPr>
        <w:t>The forecast outturn position indicates continuing pressures (over and above the allocation of the £4.6m MTFS growth which mitigated underlying pressures brought forward from 2016/17) and relate</w:t>
      </w:r>
      <w:r w:rsidR="00A26B94">
        <w:rPr>
          <w:bCs/>
        </w:rPr>
        <w:t>s</w:t>
      </w:r>
      <w:r w:rsidRPr="00652F66">
        <w:rPr>
          <w:bCs/>
        </w:rPr>
        <w:t xml:space="preserve"> largely to increasing purchasing pressures (including the all age disability service) and delivery of MTFS savings</w:t>
      </w:r>
      <w:r w:rsidR="00A26B94">
        <w:rPr>
          <w:bCs/>
        </w:rPr>
        <w:t>.</w:t>
      </w:r>
      <w:r w:rsidRPr="00652F66">
        <w:rPr>
          <w:bCs/>
        </w:rPr>
        <w:t xml:space="preserve"> </w:t>
      </w:r>
      <w:r w:rsidR="00A26B94">
        <w:rPr>
          <w:bCs/>
        </w:rPr>
        <w:t>H</w:t>
      </w:r>
      <w:r w:rsidRPr="00652F66">
        <w:rPr>
          <w:bCs/>
        </w:rPr>
        <w:t>owever these are expected to be mitigated by action plans and use of the ASC grant as detailed above</w:t>
      </w:r>
      <w:r>
        <w:rPr>
          <w:bCs/>
        </w:rPr>
        <w:t>.</w:t>
      </w:r>
    </w:p>
    <w:p w14:paraId="1D91AEFE" w14:textId="5799CCC0" w:rsidR="006C3281" w:rsidRPr="00052558" w:rsidRDefault="00E653B5" w:rsidP="000A1EAF">
      <w:pPr>
        <w:pStyle w:val="ListParagraph"/>
        <w:numPr>
          <w:ilvl w:val="1"/>
          <w:numId w:val="64"/>
        </w:numPr>
        <w:spacing w:after="120"/>
        <w:ind w:left="709" w:hanging="709"/>
        <w:jc w:val="both"/>
        <w:rPr>
          <w:bCs/>
        </w:rPr>
      </w:pPr>
      <w:r w:rsidRPr="00052558">
        <w:rPr>
          <w:bCs/>
        </w:rPr>
        <w:t>Whilst the service received MTFS growth, together with the announcement of the improved B</w:t>
      </w:r>
      <w:r w:rsidR="006C3281" w:rsidRPr="00052558">
        <w:rPr>
          <w:bCs/>
        </w:rPr>
        <w:t xml:space="preserve">etter </w:t>
      </w:r>
      <w:r w:rsidRPr="00052558">
        <w:rPr>
          <w:bCs/>
        </w:rPr>
        <w:t>C</w:t>
      </w:r>
      <w:r w:rsidR="006C3281" w:rsidRPr="00052558">
        <w:rPr>
          <w:bCs/>
        </w:rPr>
        <w:t xml:space="preserve">are </w:t>
      </w:r>
      <w:r w:rsidRPr="00052558">
        <w:rPr>
          <w:bCs/>
        </w:rPr>
        <w:t>F</w:t>
      </w:r>
      <w:r w:rsidR="006C3281" w:rsidRPr="00052558">
        <w:rPr>
          <w:bCs/>
        </w:rPr>
        <w:t>und</w:t>
      </w:r>
      <w:r w:rsidRPr="00052558">
        <w:rPr>
          <w:bCs/>
        </w:rPr>
        <w:t xml:space="preserve"> funding, th</w:t>
      </w:r>
      <w:r w:rsidR="00C00C34">
        <w:rPr>
          <w:bCs/>
        </w:rPr>
        <w:t>e</w:t>
      </w:r>
      <w:r w:rsidRPr="00052558">
        <w:rPr>
          <w:bCs/>
        </w:rPr>
        <w:t xml:space="preserve"> front line demand led service</w:t>
      </w:r>
      <w:r w:rsidR="00A26B94">
        <w:rPr>
          <w:bCs/>
        </w:rPr>
        <w:t>s</w:t>
      </w:r>
      <w:r w:rsidRPr="00052558">
        <w:rPr>
          <w:bCs/>
        </w:rPr>
        <w:t xml:space="preserve"> continue to face cost pressures in relation to the provision of services, arising largely from increasing complexities and also the interface with health.</w:t>
      </w:r>
    </w:p>
    <w:p w14:paraId="6D0791DD" w14:textId="76259E39" w:rsidR="00E653B5" w:rsidRPr="00052558" w:rsidRDefault="00E653B5" w:rsidP="000A1EAF">
      <w:pPr>
        <w:pStyle w:val="ListParagraph"/>
        <w:numPr>
          <w:ilvl w:val="1"/>
          <w:numId w:val="64"/>
        </w:numPr>
        <w:spacing w:after="120"/>
        <w:ind w:left="709" w:hanging="709"/>
        <w:jc w:val="both"/>
        <w:rPr>
          <w:bCs/>
        </w:rPr>
      </w:pPr>
      <w:r w:rsidRPr="00052558">
        <w:rPr>
          <w:bCs/>
        </w:rPr>
        <w:t xml:space="preserve">The service is working towards containing these pressures within the approved </w:t>
      </w:r>
      <w:r w:rsidR="006C3281" w:rsidRPr="00052558">
        <w:rPr>
          <w:bCs/>
        </w:rPr>
        <w:t>budget;</w:t>
      </w:r>
      <w:r w:rsidRPr="00052558">
        <w:rPr>
          <w:bCs/>
        </w:rPr>
        <w:t xml:space="preserve"> however this continues to be challenging. The A</w:t>
      </w:r>
      <w:r w:rsidR="006C3281" w:rsidRPr="00052558">
        <w:rPr>
          <w:bCs/>
        </w:rPr>
        <w:t xml:space="preserve">dult </w:t>
      </w:r>
      <w:r w:rsidRPr="00052558">
        <w:rPr>
          <w:bCs/>
        </w:rPr>
        <w:t>S</w:t>
      </w:r>
      <w:r w:rsidR="006C3281" w:rsidRPr="00052558">
        <w:rPr>
          <w:bCs/>
        </w:rPr>
        <w:t xml:space="preserve">ocial </w:t>
      </w:r>
      <w:r w:rsidRPr="00052558">
        <w:rPr>
          <w:bCs/>
        </w:rPr>
        <w:t>C</w:t>
      </w:r>
      <w:r w:rsidR="006C3281" w:rsidRPr="00052558">
        <w:rPr>
          <w:bCs/>
        </w:rPr>
        <w:t>are</w:t>
      </w:r>
      <w:r w:rsidRPr="00052558">
        <w:rPr>
          <w:bCs/>
        </w:rPr>
        <w:t xml:space="preserve"> grant of £3.6m will be committed in line with the grant conditions and is expected to enable a balanced </w:t>
      </w:r>
      <w:r w:rsidR="009102CE">
        <w:rPr>
          <w:bCs/>
        </w:rPr>
        <w:t xml:space="preserve">position </w:t>
      </w:r>
      <w:r w:rsidRPr="00052558">
        <w:rPr>
          <w:bCs/>
        </w:rPr>
        <w:t>by 31</w:t>
      </w:r>
      <w:r w:rsidRPr="00052558">
        <w:rPr>
          <w:bCs/>
          <w:vertAlign w:val="superscript"/>
        </w:rPr>
        <w:t>st</w:t>
      </w:r>
      <w:r w:rsidRPr="00052558">
        <w:rPr>
          <w:bCs/>
        </w:rPr>
        <w:t xml:space="preserve"> March 2018.</w:t>
      </w:r>
    </w:p>
    <w:p w14:paraId="07940ABC" w14:textId="31E2775E" w:rsidR="00052558" w:rsidRPr="00BB0A57" w:rsidRDefault="00052558" w:rsidP="00404B4F">
      <w:pPr>
        <w:pStyle w:val="ListParagraph"/>
        <w:numPr>
          <w:ilvl w:val="1"/>
          <w:numId w:val="64"/>
        </w:numPr>
        <w:spacing w:after="120"/>
        <w:ind w:left="709" w:hanging="709"/>
        <w:jc w:val="both"/>
        <w:rPr>
          <w:bCs/>
        </w:rPr>
      </w:pPr>
      <w:r w:rsidRPr="00BB0A57">
        <w:rPr>
          <w:bCs/>
        </w:rPr>
        <w:t>Within Adult Social Care, purchasing pressures are continuing to rise (forecast overspend of £</w:t>
      </w:r>
      <w:r w:rsidR="00652F66">
        <w:rPr>
          <w:bCs/>
        </w:rPr>
        <w:t>2.</w:t>
      </w:r>
      <w:r w:rsidR="00B44CEE">
        <w:rPr>
          <w:bCs/>
        </w:rPr>
        <w:t>9</w:t>
      </w:r>
      <w:r w:rsidR="00B44CEE" w:rsidRPr="00BB0A57">
        <w:rPr>
          <w:bCs/>
        </w:rPr>
        <w:t>m</w:t>
      </w:r>
      <w:r w:rsidR="00B44CEE">
        <w:rPr>
          <w:bCs/>
        </w:rPr>
        <w:t xml:space="preserve"> including an overspend of £366k in relation to Mental Health services provided by Central North West London under s75 arrangements</w:t>
      </w:r>
      <w:r w:rsidRPr="00BB0A57">
        <w:rPr>
          <w:bCs/>
        </w:rPr>
        <w:t>), especially relating to the increased weeks of care required for residential and nursing placements. In particular, a number of new trends since the budget was set in February,  are emerging that carry increased financial  challenge, such as:</w:t>
      </w:r>
    </w:p>
    <w:p w14:paraId="0E8BD602" w14:textId="0D140EA7" w:rsidR="004034F2" w:rsidRPr="00052558" w:rsidRDefault="001B5724" w:rsidP="003D61E1">
      <w:pPr>
        <w:numPr>
          <w:ilvl w:val="1"/>
          <w:numId w:val="11"/>
        </w:numPr>
        <w:jc w:val="both"/>
        <w:rPr>
          <w:bCs/>
        </w:rPr>
      </w:pPr>
      <w:r>
        <w:rPr>
          <w:bCs/>
        </w:rPr>
        <w:t>T</w:t>
      </w:r>
      <w:r w:rsidR="004034F2" w:rsidRPr="00052558">
        <w:rPr>
          <w:bCs/>
        </w:rPr>
        <w:t>he complexities existing between residential and nursing care ha</w:t>
      </w:r>
      <w:r w:rsidR="00E653B5" w:rsidRPr="00052558">
        <w:rPr>
          <w:bCs/>
        </w:rPr>
        <w:t>ve</w:t>
      </w:r>
      <w:r w:rsidR="004034F2" w:rsidRPr="00052558">
        <w:rPr>
          <w:bCs/>
        </w:rPr>
        <w:t xml:space="preserve"> shifted resulting in increased placements in nursing care and increased weekly costs of residential placements</w:t>
      </w:r>
      <w:r w:rsidR="00B22CA8">
        <w:rPr>
          <w:bCs/>
        </w:rPr>
        <w:t>.</w:t>
      </w:r>
    </w:p>
    <w:p w14:paraId="259DC6D2" w14:textId="5582D803" w:rsidR="004034F2" w:rsidRPr="00052558" w:rsidRDefault="001B5724" w:rsidP="003D61E1">
      <w:pPr>
        <w:numPr>
          <w:ilvl w:val="1"/>
          <w:numId w:val="11"/>
        </w:numPr>
        <w:jc w:val="both"/>
        <w:rPr>
          <w:bCs/>
        </w:rPr>
      </w:pPr>
      <w:r>
        <w:rPr>
          <w:bCs/>
        </w:rPr>
        <w:t>A</w:t>
      </w:r>
      <w:r w:rsidR="004034F2" w:rsidRPr="00052558">
        <w:rPr>
          <w:bCs/>
        </w:rPr>
        <w:t>n increasing trend towards dementia in younger adults, resulting in a longer financial commitment tha</w:t>
      </w:r>
      <w:r w:rsidR="00E653B5" w:rsidRPr="00052558">
        <w:rPr>
          <w:bCs/>
        </w:rPr>
        <w:t>n</w:t>
      </w:r>
      <w:r w:rsidR="004034F2" w:rsidRPr="00052558">
        <w:rPr>
          <w:bCs/>
        </w:rPr>
        <w:t xml:space="preserve"> previously anticipated</w:t>
      </w:r>
      <w:r w:rsidR="00B22CA8">
        <w:rPr>
          <w:bCs/>
        </w:rPr>
        <w:t>.</w:t>
      </w:r>
    </w:p>
    <w:p w14:paraId="30E133B1" w14:textId="2FE02B2E" w:rsidR="004034F2" w:rsidRPr="00052558" w:rsidRDefault="004034F2" w:rsidP="003D61E1">
      <w:pPr>
        <w:numPr>
          <w:ilvl w:val="1"/>
          <w:numId w:val="11"/>
        </w:numPr>
        <w:jc w:val="both"/>
        <w:rPr>
          <w:bCs/>
        </w:rPr>
      </w:pPr>
      <w:r w:rsidRPr="00052558">
        <w:rPr>
          <w:bCs/>
        </w:rPr>
        <w:t xml:space="preserve">A 21% increase in the </w:t>
      </w:r>
      <w:r w:rsidR="00E74909">
        <w:rPr>
          <w:bCs/>
        </w:rPr>
        <w:t xml:space="preserve">number of </w:t>
      </w:r>
      <w:r w:rsidRPr="00052558">
        <w:rPr>
          <w:bCs/>
        </w:rPr>
        <w:t>discharges from hospital into adult social care</w:t>
      </w:r>
      <w:r w:rsidR="00B22CA8">
        <w:rPr>
          <w:bCs/>
        </w:rPr>
        <w:t>.</w:t>
      </w:r>
    </w:p>
    <w:p w14:paraId="4A88D921" w14:textId="66076C51" w:rsidR="004034F2" w:rsidRPr="00052558" w:rsidRDefault="00A7379D" w:rsidP="003D61E1">
      <w:pPr>
        <w:numPr>
          <w:ilvl w:val="1"/>
          <w:numId w:val="11"/>
        </w:numPr>
        <w:jc w:val="both"/>
        <w:rPr>
          <w:bCs/>
        </w:rPr>
      </w:pPr>
      <w:r w:rsidRPr="00052558">
        <w:rPr>
          <w:bCs/>
        </w:rPr>
        <w:t>Continuing</w:t>
      </w:r>
      <w:r w:rsidR="004034F2" w:rsidRPr="00052558">
        <w:rPr>
          <w:bCs/>
        </w:rPr>
        <w:t xml:space="preserve"> pressure against increasing demands on the </w:t>
      </w:r>
      <w:r w:rsidRPr="00052558">
        <w:rPr>
          <w:bCs/>
        </w:rPr>
        <w:t>Deprivation</w:t>
      </w:r>
      <w:r w:rsidR="004034F2" w:rsidRPr="00052558">
        <w:rPr>
          <w:bCs/>
        </w:rPr>
        <w:t xml:space="preserve"> of Liberties (</w:t>
      </w:r>
      <w:proofErr w:type="spellStart"/>
      <w:r w:rsidR="004034F2" w:rsidRPr="00052558">
        <w:rPr>
          <w:bCs/>
        </w:rPr>
        <w:t>DoLs</w:t>
      </w:r>
      <w:proofErr w:type="spellEnd"/>
      <w:r w:rsidR="004034F2" w:rsidRPr="00052558">
        <w:rPr>
          <w:bCs/>
        </w:rPr>
        <w:t>) service</w:t>
      </w:r>
      <w:r w:rsidR="00061DF9" w:rsidRPr="00052558">
        <w:rPr>
          <w:bCs/>
        </w:rPr>
        <w:t>.</w:t>
      </w:r>
    </w:p>
    <w:p w14:paraId="52BDA68C" w14:textId="77777777" w:rsidR="00061DF9" w:rsidRPr="00BB0A57" w:rsidRDefault="00061DF9" w:rsidP="00061DF9">
      <w:pPr>
        <w:ind w:left="1440"/>
        <w:jc w:val="both"/>
        <w:rPr>
          <w:bCs/>
          <w:highlight w:val="yellow"/>
        </w:rPr>
      </w:pPr>
    </w:p>
    <w:p w14:paraId="69195A99" w14:textId="1757685B" w:rsidR="00052558" w:rsidRPr="00BB0A57" w:rsidRDefault="00052558" w:rsidP="000A1EAF">
      <w:pPr>
        <w:pStyle w:val="ListParagraph"/>
        <w:numPr>
          <w:ilvl w:val="1"/>
          <w:numId w:val="64"/>
        </w:numPr>
        <w:spacing w:after="120"/>
        <w:ind w:left="709" w:hanging="709"/>
        <w:jc w:val="both"/>
        <w:rPr>
          <w:bCs/>
        </w:rPr>
      </w:pPr>
      <w:r w:rsidRPr="00BB0A57">
        <w:rPr>
          <w:bCs/>
        </w:rPr>
        <w:t>Pressures of £</w:t>
      </w:r>
      <w:r w:rsidR="00652F66">
        <w:rPr>
          <w:bCs/>
        </w:rPr>
        <w:t>347</w:t>
      </w:r>
      <w:r w:rsidRPr="00BB0A57">
        <w:rPr>
          <w:bCs/>
        </w:rPr>
        <w:t>k in relation to placement costs for children with disability (within the all age disability pathway</w:t>
      </w:r>
      <w:r w:rsidR="009661BF">
        <w:rPr>
          <w:bCs/>
        </w:rPr>
        <w:t>)</w:t>
      </w:r>
      <w:r w:rsidRPr="00BB0A57">
        <w:rPr>
          <w:bCs/>
        </w:rPr>
        <w:t xml:space="preserve"> have been transferred from children’s services.</w:t>
      </w:r>
    </w:p>
    <w:p w14:paraId="3DE8165E" w14:textId="6FDBE8C5" w:rsidR="004034F2" w:rsidRPr="00C649DF" w:rsidRDefault="009661BF" w:rsidP="000A1EAF">
      <w:pPr>
        <w:pStyle w:val="ListParagraph"/>
        <w:numPr>
          <w:ilvl w:val="1"/>
          <w:numId w:val="64"/>
        </w:numPr>
        <w:spacing w:after="120"/>
        <w:ind w:left="709" w:hanging="709"/>
        <w:jc w:val="both"/>
        <w:rPr>
          <w:bCs/>
        </w:rPr>
      </w:pPr>
      <w:r>
        <w:rPr>
          <w:bCs/>
        </w:rPr>
        <w:t>Within internally provided services there are underlying pressures in the region of £1.32m.  These pressures arise from d</w:t>
      </w:r>
      <w:r w:rsidR="004034F2" w:rsidRPr="00C649DF">
        <w:rPr>
          <w:bCs/>
        </w:rPr>
        <w:t xml:space="preserve">elays </w:t>
      </w:r>
      <w:r w:rsidR="00E653B5" w:rsidRPr="00C649DF">
        <w:rPr>
          <w:bCs/>
        </w:rPr>
        <w:t xml:space="preserve">(including those associated with planning and </w:t>
      </w:r>
      <w:r w:rsidR="00A7379D" w:rsidRPr="00C649DF">
        <w:rPr>
          <w:bCs/>
        </w:rPr>
        <w:t>building</w:t>
      </w:r>
      <w:r w:rsidR="00E653B5" w:rsidRPr="00C649DF">
        <w:rPr>
          <w:bCs/>
        </w:rPr>
        <w:t xml:space="preserve"> related issues) </w:t>
      </w:r>
      <w:r w:rsidR="004034F2" w:rsidRPr="00C649DF">
        <w:rPr>
          <w:bCs/>
        </w:rPr>
        <w:t>associated with the achievement of MTFS savings</w:t>
      </w:r>
      <w:proofErr w:type="gramStart"/>
      <w:r>
        <w:rPr>
          <w:bCs/>
        </w:rPr>
        <w:t xml:space="preserve">, </w:t>
      </w:r>
      <w:r w:rsidR="004034F2" w:rsidRPr="00C649DF">
        <w:rPr>
          <w:bCs/>
        </w:rPr>
        <w:t xml:space="preserve"> including</w:t>
      </w:r>
      <w:proofErr w:type="gramEnd"/>
      <w:r w:rsidR="004034F2" w:rsidRPr="00C649DF">
        <w:rPr>
          <w:bCs/>
        </w:rPr>
        <w:t xml:space="preserve"> £0.</w:t>
      </w:r>
      <w:r w:rsidR="00C649DF" w:rsidRPr="00BB0A57">
        <w:rPr>
          <w:bCs/>
        </w:rPr>
        <w:t>9</w:t>
      </w:r>
      <w:r w:rsidR="004034F2" w:rsidRPr="00C649DF">
        <w:rPr>
          <w:bCs/>
        </w:rPr>
        <w:t xml:space="preserve">m in relation to the </w:t>
      </w:r>
      <w:proofErr w:type="spellStart"/>
      <w:r w:rsidR="004034F2" w:rsidRPr="00C649DF">
        <w:rPr>
          <w:bCs/>
        </w:rPr>
        <w:t>Sancroft</w:t>
      </w:r>
      <w:proofErr w:type="spellEnd"/>
      <w:r w:rsidR="004034F2" w:rsidRPr="00C649DF">
        <w:rPr>
          <w:bCs/>
        </w:rPr>
        <w:t xml:space="preserve"> Phoenix project</w:t>
      </w:r>
      <w:r>
        <w:rPr>
          <w:bCs/>
        </w:rPr>
        <w:t xml:space="preserve">.  </w:t>
      </w:r>
      <w:r w:rsidR="004034F2" w:rsidRPr="00C649DF">
        <w:rPr>
          <w:bCs/>
        </w:rPr>
        <w:t xml:space="preserve"> These pressures are </w:t>
      </w:r>
      <w:r w:rsidR="00E653B5" w:rsidRPr="00C649DF">
        <w:rPr>
          <w:bCs/>
        </w:rPr>
        <w:t xml:space="preserve">expected to be </w:t>
      </w:r>
      <w:r>
        <w:rPr>
          <w:bCs/>
        </w:rPr>
        <w:t xml:space="preserve">partially </w:t>
      </w:r>
      <w:r w:rsidR="00E653B5" w:rsidRPr="00C649DF">
        <w:rPr>
          <w:bCs/>
        </w:rPr>
        <w:t>mitigated.</w:t>
      </w:r>
    </w:p>
    <w:p w14:paraId="6F082560" w14:textId="2C512F53" w:rsidR="00562CC6" w:rsidRPr="00BB0A57" w:rsidRDefault="00E653B5" w:rsidP="000A1EAF">
      <w:pPr>
        <w:pStyle w:val="ListParagraph"/>
        <w:numPr>
          <w:ilvl w:val="1"/>
          <w:numId w:val="64"/>
        </w:numPr>
        <w:spacing w:after="120"/>
        <w:ind w:left="709" w:hanging="709"/>
        <w:jc w:val="both"/>
        <w:rPr>
          <w:bCs/>
        </w:rPr>
      </w:pPr>
      <w:r w:rsidRPr="00C649DF">
        <w:rPr>
          <w:bCs/>
        </w:rPr>
        <w:t xml:space="preserve">The </w:t>
      </w:r>
      <w:r w:rsidR="004F496B">
        <w:rPr>
          <w:bCs/>
        </w:rPr>
        <w:t xml:space="preserve">Better Care Fund (BCF) has been agreed for 2017/18, with the funding in relation to the protection of social care (a BCF condition) reduced from the budgeted figure of £6.558m down to £6.106m by the </w:t>
      </w:r>
      <w:r w:rsidRPr="00C649DF">
        <w:rPr>
          <w:bCs/>
        </w:rPr>
        <w:t>C</w:t>
      </w:r>
      <w:r w:rsidR="00B22CA8">
        <w:rPr>
          <w:bCs/>
        </w:rPr>
        <w:t xml:space="preserve">linical </w:t>
      </w:r>
      <w:r w:rsidRPr="00C649DF">
        <w:rPr>
          <w:bCs/>
        </w:rPr>
        <w:t>C</w:t>
      </w:r>
      <w:r w:rsidR="00B22CA8">
        <w:rPr>
          <w:bCs/>
        </w:rPr>
        <w:t xml:space="preserve">ommission </w:t>
      </w:r>
      <w:r w:rsidRPr="00C649DF">
        <w:rPr>
          <w:bCs/>
        </w:rPr>
        <w:t>G</w:t>
      </w:r>
      <w:r w:rsidR="00B22CA8">
        <w:rPr>
          <w:bCs/>
        </w:rPr>
        <w:t>roup</w:t>
      </w:r>
      <w:r w:rsidR="004F496B">
        <w:rPr>
          <w:bCs/>
        </w:rPr>
        <w:t>.  This reduction has been mitigated within the outturn figure reported above.</w:t>
      </w:r>
    </w:p>
    <w:p w14:paraId="09BEF266" w14:textId="77777777" w:rsidR="00E73627" w:rsidRPr="00ED4141" w:rsidRDefault="00E73627" w:rsidP="00BB0A57">
      <w:pPr>
        <w:pStyle w:val="ListParagraph"/>
        <w:suppressAutoHyphens/>
        <w:ind w:left="405" w:firstLine="304"/>
      </w:pPr>
    </w:p>
    <w:p w14:paraId="349F5032" w14:textId="77777777" w:rsidR="00F37451" w:rsidRPr="00ED4141" w:rsidRDefault="00F37451" w:rsidP="00BB0A57">
      <w:pPr>
        <w:pStyle w:val="ListParagraph"/>
        <w:suppressAutoHyphens/>
        <w:ind w:left="405" w:firstLine="304"/>
      </w:pPr>
      <w:r w:rsidRPr="00ED4141">
        <w:t xml:space="preserve">PUBLIC HEALTH </w:t>
      </w:r>
    </w:p>
    <w:p w14:paraId="043EE170" w14:textId="77777777" w:rsidR="00E07305" w:rsidRPr="00F37451" w:rsidRDefault="00E07305" w:rsidP="00E07305">
      <w:pPr>
        <w:pStyle w:val="ListParagraph"/>
        <w:suppressAutoHyphens/>
        <w:ind w:left="405" w:firstLine="304"/>
        <w:rPr>
          <w:u w:val="single"/>
        </w:rPr>
      </w:pPr>
    </w:p>
    <w:p w14:paraId="54608D4B" w14:textId="00223407" w:rsidR="005A6DF0" w:rsidRPr="007C4E79" w:rsidRDefault="00F37451" w:rsidP="00404B4F">
      <w:pPr>
        <w:pStyle w:val="ListParagraph"/>
        <w:numPr>
          <w:ilvl w:val="1"/>
          <w:numId w:val="64"/>
        </w:numPr>
        <w:suppressAutoHyphens/>
        <w:spacing w:after="120"/>
        <w:ind w:left="709" w:hanging="709"/>
        <w:jc w:val="both"/>
        <w:rPr>
          <w:u w:val="single"/>
        </w:rPr>
      </w:pPr>
      <w:r w:rsidRPr="00A7359D">
        <w:t xml:space="preserve">Overall the 2017/18 forecast outturn position for Public </w:t>
      </w:r>
      <w:r w:rsidRPr="007C4E79">
        <w:t>Health is a balanced budget</w:t>
      </w:r>
      <w:r w:rsidR="00F7369C">
        <w:t xml:space="preserve">, after the one-off contribution towards the Spending Control Freeze.  This balanced position </w:t>
      </w:r>
      <w:r w:rsidR="005B66B6">
        <w:t xml:space="preserve">assumes that the statutory provision in relation to demand led sexual health services will be within budget.  The new </w:t>
      </w:r>
      <w:r w:rsidR="00637C72">
        <w:t xml:space="preserve">5 year </w:t>
      </w:r>
      <w:r w:rsidR="005B66B6">
        <w:t xml:space="preserve">integrated contract with London North West Hospitals Trust (LNWHT) commenced on </w:t>
      </w:r>
      <w:r w:rsidR="00637C72">
        <w:t>1st</w:t>
      </w:r>
      <w:r w:rsidR="005B66B6">
        <w:t xml:space="preserve"> August 2017</w:t>
      </w:r>
      <w:r w:rsidR="00637C72">
        <w:t>.  As a result activity is now charged based on the type of services provided (rather than a price for a first or follow up attendance) and data is awaited in relation to this activity to enable trends to be established and a robust forecast provided</w:t>
      </w:r>
      <w:r w:rsidR="005B66B6">
        <w:t>.</w:t>
      </w:r>
    </w:p>
    <w:p w14:paraId="00B3B3E9" w14:textId="77777777" w:rsidR="005A6DF0" w:rsidRPr="0021139A" w:rsidRDefault="005A6DF0" w:rsidP="005A6DF0">
      <w:pPr>
        <w:suppressAutoHyphens/>
        <w:ind w:left="284"/>
        <w:rPr>
          <w:u w:val="single"/>
        </w:rPr>
      </w:pPr>
    </w:p>
    <w:p w14:paraId="2F74480F" w14:textId="3F13F104" w:rsidR="00547BB2" w:rsidRDefault="00547BB2" w:rsidP="00CB1B58">
      <w:pPr>
        <w:pStyle w:val="ListParagraph"/>
        <w:spacing w:after="120"/>
        <w:ind w:left="709"/>
        <w:jc w:val="both"/>
        <w:rPr>
          <w:b/>
          <w:bCs/>
          <w:i/>
        </w:rPr>
      </w:pPr>
    </w:p>
    <w:p w14:paraId="3F9B7B1B" w14:textId="77777777" w:rsidR="00A26B94" w:rsidRDefault="00A26B94" w:rsidP="00404B4F">
      <w:pPr>
        <w:pStyle w:val="ListParagraph"/>
        <w:spacing w:after="120"/>
        <w:ind w:left="709" w:hanging="85"/>
        <w:jc w:val="both"/>
        <w:rPr>
          <w:b/>
          <w:bCs/>
          <w:i/>
        </w:rPr>
      </w:pPr>
    </w:p>
    <w:p w14:paraId="4ACEA43B" w14:textId="77777777" w:rsidR="00A26B94" w:rsidRDefault="00A26B94" w:rsidP="00404B4F">
      <w:pPr>
        <w:pStyle w:val="ListParagraph"/>
        <w:spacing w:after="120"/>
        <w:ind w:left="709" w:hanging="85"/>
        <w:jc w:val="both"/>
        <w:rPr>
          <w:b/>
          <w:bCs/>
          <w:i/>
        </w:rPr>
      </w:pPr>
    </w:p>
    <w:p w14:paraId="0397C577" w14:textId="1AFD2B90" w:rsidR="00627173" w:rsidRPr="00015227" w:rsidRDefault="00627173" w:rsidP="00404B4F">
      <w:pPr>
        <w:pStyle w:val="ListParagraph"/>
        <w:spacing w:after="120"/>
        <w:ind w:left="709" w:hanging="85"/>
        <w:jc w:val="both"/>
        <w:rPr>
          <w:b/>
          <w:bCs/>
          <w:i/>
        </w:rPr>
      </w:pPr>
      <w:r w:rsidRPr="00015227">
        <w:rPr>
          <w:b/>
          <w:bCs/>
          <w:i/>
        </w:rPr>
        <w:t>SPENDING CONTROL FREEZE</w:t>
      </w:r>
      <w:r w:rsidR="00A7359D">
        <w:rPr>
          <w:b/>
          <w:bCs/>
          <w:i/>
        </w:rPr>
        <w:t xml:space="preserve"> (Adult</w:t>
      </w:r>
      <w:r w:rsidR="009102CE">
        <w:rPr>
          <w:b/>
          <w:bCs/>
          <w:i/>
        </w:rPr>
        <w:t>s</w:t>
      </w:r>
      <w:r w:rsidR="00A7359D">
        <w:rPr>
          <w:b/>
          <w:bCs/>
          <w:i/>
        </w:rPr>
        <w:t xml:space="preserve"> and Public Health)</w:t>
      </w:r>
    </w:p>
    <w:p w14:paraId="6688AF88" w14:textId="03E1DD48" w:rsidR="00627173" w:rsidRDefault="00627173" w:rsidP="00404B4F">
      <w:pPr>
        <w:pStyle w:val="ListParagraph"/>
        <w:numPr>
          <w:ilvl w:val="1"/>
          <w:numId w:val="64"/>
        </w:numPr>
        <w:spacing w:after="120"/>
        <w:ind w:left="709" w:hanging="709"/>
        <w:jc w:val="both"/>
        <w:rPr>
          <w:bCs/>
        </w:rPr>
      </w:pPr>
      <w:r w:rsidRPr="00627173">
        <w:rPr>
          <w:bCs/>
        </w:rPr>
        <w:t>The directorate is also reporting a one-</w:t>
      </w:r>
      <w:r w:rsidR="00E74909">
        <w:rPr>
          <w:bCs/>
        </w:rPr>
        <w:t>o</w:t>
      </w:r>
      <w:r w:rsidRPr="00627173">
        <w:rPr>
          <w:bCs/>
        </w:rPr>
        <w:t>ff contribution to the Spending Control Freeze of (£</w:t>
      </w:r>
      <w:r w:rsidR="00CE22F9">
        <w:rPr>
          <w:bCs/>
        </w:rPr>
        <w:t>0.</w:t>
      </w:r>
      <w:r w:rsidRPr="00627173">
        <w:rPr>
          <w:bCs/>
        </w:rPr>
        <w:t>320</w:t>
      </w:r>
      <w:r w:rsidR="00CE22F9">
        <w:rPr>
          <w:bCs/>
        </w:rPr>
        <w:t>m</w:t>
      </w:r>
      <w:r w:rsidRPr="00627173">
        <w:rPr>
          <w:bCs/>
        </w:rPr>
        <w:t>). It</w:t>
      </w:r>
      <w:r w:rsidR="00F44178">
        <w:rPr>
          <w:bCs/>
        </w:rPr>
        <w:t xml:space="preserve"> is</w:t>
      </w:r>
      <w:r w:rsidRPr="00627173">
        <w:rPr>
          <w:bCs/>
        </w:rPr>
        <w:t xml:space="preserve"> been proposed that in Adult Service</w:t>
      </w:r>
      <w:r w:rsidR="00E74909">
        <w:rPr>
          <w:bCs/>
        </w:rPr>
        <w:t>s</w:t>
      </w:r>
      <w:r w:rsidRPr="00627173">
        <w:rPr>
          <w:bCs/>
        </w:rPr>
        <w:t xml:space="preserve"> this will be achieved by reducing expenditure </w:t>
      </w:r>
      <w:r w:rsidR="004B0A7B">
        <w:rPr>
          <w:bCs/>
        </w:rPr>
        <w:t xml:space="preserve">(of £159k) </w:t>
      </w:r>
      <w:r w:rsidRPr="00627173">
        <w:rPr>
          <w:bCs/>
        </w:rPr>
        <w:t xml:space="preserve">across the training budgets (mandatory training will continue to be provided </w:t>
      </w:r>
      <w:r w:rsidR="00E74909">
        <w:rPr>
          <w:bCs/>
        </w:rPr>
        <w:t xml:space="preserve">which is </w:t>
      </w:r>
      <w:r w:rsidRPr="00627173">
        <w:rPr>
          <w:bCs/>
        </w:rPr>
        <w:t xml:space="preserve">consistent with the practice in 2016/17) and within the hospital team. Within Public Health the reduced expenditure </w:t>
      </w:r>
      <w:r w:rsidR="004B0A7B">
        <w:rPr>
          <w:bCs/>
        </w:rPr>
        <w:t xml:space="preserve">(of £161k) </w:t>
      </w:r>
      <w:r w:rsidRPr="00627173">
        <w:rPr>
          <w:bCs/>
        </w:rPr>
        <w:t>reflects the early achievement of the 2017/18 MTFS saving in relation to drug and alcohol services, together with a reduction in committed spend for obesity services</w:t>
      </w:r>
      <w:r w:rsidR="00F44178">
        <w:rPr>
          <w:bCs/>
        </w:rPr>
        <w:t>.</w:t>
      </w:r>
    </w:p>
    <w:p w14:paraId="59DAE182" w14:textId="77777777" w:rsidR="006C3281" w:rsidRPr="00ED4141" w:rsidRDefault="006C3281" w:rsidP="002C66C9">
      <w:pPr>
        <w:pStyle w:val="ListParagraph"/>
        <w:ind w:left="624"/>
        <w:rPr>
          <w:bCs/>
        </w:rPr>
      </w:pPr>
    </w:p>
    <w:p w14:paraId="607C8CC6" w14:textId="0AABC186" w:rsidR="004034F2" w:rsidRPr="00ED4141" w:rsidRDefault="00C97D07" w:rsidP="00CB1B58">
      <w:pPr>
        <w:ind w:firstLine="709"/>
        <w:jc w:val="both"/>
        <w:rPr>
          <w:bCs/>
        </w:rPr>
      </w:pPr>
      <w:r>
        <w:rPr>
          <w:bCs/>
        </w:rPr>
        <w:t>CHILDREN</w:t>
      </w:r>
      <w:r w:rsidR="00EC6F66">
        <w:rPr>
          <w:bCs/>
        </w:rPr>
        <w:t>’S SERVICES</w:t>
      </w:r>
    </w:p>
    <w:p w14:paraId="1D587D84" w14:textId="482FF3C3" w:rsidR="004034F2" w:rsidRPr="004034F2" w:rsidRDefault="004034F2" w:rsidP="00D30E09">
      <w:pPr>
        <w:ind w:left="284" w:firstLine="851"/>
        <w:rPr>
          <w:bCs/>
        </w:rPr>
      </w:pPr>
      <w:r w:rsidRPr="004034F2">
        <w:rPr>
          <w:bCs/>
        </w:rPr>
        <w:t xml:space="preserve"> </w:t>
      </w:r>
    </w:p>
    <w:p w14:paraId="6EA76019" w14:textId="3B3F32B8" w:rsidR="004C5118" w:rsidRDefault="004C5118" w:rsidP="00404B4F">
      <w:pPr>
        <w:pStyle w:val="ListParagraph"/>
        <w:numPr>
          <w:ilvl w:val="1"/>
          <w:numId w:val="64"/>
        </w:numPr>
        <w:spacing w:after="120"/>
        <w:ind w:left="709" w:hanging="709"/>
        <w:jc w:val="both"/>
        <w:rPr>
          <w:bCs/>
        </w:rPr>
      </w:pPr>
      <w:r>
        <w:rPr>
          <w:bCs/>
        </w:rPr>
        <w:t>As at Qua</w:t>
      </w:r>
      <w:r w:rsidR="00933D6D">
        <w:rPr>
          <w:bCs/>
        </w:rPr>
        <w:t xml:space="preserve">rter </w:t>
      </w:r>
      <w:r w:rsidR="00652F66">
        <w:rPr>
          <w:bCs/>
        </w:rPr>
        <w:t>2</w:t>
      </w:r>
      <w:r w:rsidRPr="004C5118">
        <w:rPr>
          <w:bCs/>
        </w:rPr>
        <w:t xml:space="preserve"> the headline pressure for the di</w:t>
      </w:r>
      <w:r w:rsidR="00A26B94">
        <w:rPr>
          <w:bCs/>
        </w:rPr>
        <w:t>vision</w:t>
      </w:r>
      <w:r w:rsidRPr="004C5118">
        <w:rPr>
          <w:bCs/>
        </w:rPr>
        <w:t xml:space="preserve"> is £</w:t>
      </w:r>
      <w:r w:rsidR="0091766E">
        <w:rPr>
          <w:bCs/>
        </w:rPr>
        <w:t>3.883</w:t>
      </w:r>
      <w:r w:rsidRPr="004C5118">
        <w:rPr>
          <w:bCs/>
        </w:rPr>
        <w:t>m which reduces to a net forecast overspend for the di</w:t>
      </w:r>
      <w:r w:rsidR="00A26B94">
        <w:rPr>
          <w:bCs/>
        </w:rPr>
        <w:t>vision</w:t>
      </w:r>
      <w:r w:rsidRPr="004C5118">
        <w:rPr>
          <w:bCs/>
        </w:rPr>
        <w:t xml:space="preserve"> of £3.</w:t>
      </w:r>
      <w:r w:rsidR="009103FC">
        <w:rPr>
          <w:bCs/>
        </w:rPr>
        <w:t>001</w:t>
      </w:r>
      <w:r w:rsidRPr="004C5118">
        <w:rPr>
          <w:bCs/>
        </w:rPr>
        <w:t xml:space="preserve">m after the use of one off management actions totalling </w:t>
      </w:r>
      <w:r w:rsidR="00F44178">
        <w:rPr>
          <w:bCs/>
        </w:rPr>
        <w:t>(</w:t>
      </w:r>
      <w:r w:rsidRPr="004C5118">
        <w:rPr>
          <w:bCs/>
        </w:rPr>
        <w:t>£0.</w:t>
      </w:r>
      <w:r w:rsidR="009103FC">
        <w:rPr>
          <w:bCs/>
        </w:rPr>
        <w:t>529</w:t>
      </w:r>
      <w:r w:rsidRPr="004C5118">
        <w:rPr>
          <w:bCs/>
        </w:rPr>
        <w:t>m</w:t>
      </w:r>
      <w:r w:rsidR="00F44178">
        <w:rPr>
          <w:bCs/>
        </w:rPr>
        <w:t>)</w:t>
      </w:r>
      <w:r w:rsidR="0091766E">
        <w:rPr>
          <w:bCs/>
        </w:rPr>
        <w:t xml:space="preserve"> and draw down from reserve for redundancy cost of (£0.353m)</w:t>
      </w:r>
      <w:r>
        <w:rPr>
          <w:bCs/>
        </w:rPr>
        <w:t>.</w:t>
      </w:r>
      <w:r w:rsidR="00690541" w:rsidRPr="00690541">
        <w:rPr>
          <w:bCs/>
        </w:rPr>
        <w:t xml:space="preserve"> This represents a reduction in overspend of £0.559m from the position reported at Quarter 1. The main reductions are</w:t>
      </w:r>
      <w:r w:rsidR="00690541">
        <w:rPr>
          <w:bCs/>
        </w:rPr>
        <w:t>:-</w:t>
      </w:r>
    </w:p>
    <w:p w14:paraId="148AB222" w14:textId="77777777" w:rsidR="00CF3C93" w:rsidRDefault="00CF3C93" w:rsidP="00146A7B">
      <w:pPr>
        <w:pStyle w:val="ListParagraph"/>
        <w:spacing w:after="120"/>
        <w:ind w:left="709"/>
        <w:jc w:val="both"/>
        <w:rPr>
          <w:bCs/>
        </w:rPr>
      </w:pPr>
    </w:p>
    <w:p w14:paraId="797DB986" w14:textId="2E565B44" w:rsidR="00191541" w:rsidRDefault="009103FC">
      <w:pPr>
        <w:pStyle w:val="ListParagraph"/>
        <w:spacing w:after="120"/>
        <w:ind w:left="709"/>
        <w:jc w:val="both"/>
        <w:rPr>
          <w:rFonts w:ascii="Times New Roman" w:hAnsi="Times New Roman"/>
          <w:sz w:val="20"/>
          <w:lang w:eastAsia="en-GB"/>
        </w:rPr>
      </w:pPr>
      <w:r w:rsidRPr="00CB1B58">
        <w:rPr>
          <w:b/>
          <w:bCs/>
          <w:u w:val="single"/>
        </w:rPr>
        <w:t>Table 5: Children’s variance</w:t>
      </w:r>
      <w:r w:rsidR="00420DE1">
        <w:rPr>
          <w:bCs/>
        </w:rPr>
        <w:t xml:space="preserve">         </w:t>
      </w:r>
      <w:r w:rsidR="00420DE1">
        <w:rPr>
          <w:bCs/>
        </w:rPr>
        <w:fldChar w:fldCharType="begin"/>
      </w:r>
      <w:r w:rsidR="00420DE1">
        <w:rPr>
          <w:bCs/>
        </w:rPr>
        <w:instrText xml:space="preserve"> LINK </w:instrText>
      </w:r>
      <w:r w:rsidR="000B0B9B">
        <w:rPr>
          <w:bCs/>
        </w:rPr>
        <w:instrText xml:space="preserve">Excel.Sheet.12 "\\\\clbhprwmwfs01\\vol2\\DATA\\FINANCE\\PUBLIC\\1 Public\\Budget Monitoring\\2017-2018\\Period 6\\Cabinet Report\\Q2 Budget monitoring working papers.xlsx" tables!R12C2:R14C4 </w:instrText>
      </w:r>
      <w:r w:rsidR="00420DE1">
        <w:rPr>
          <w:bCs/>
        </w:rPr>
        <w:instrText xml:space="preserve">\a \f 4 \h </w:instrText>
      </w:r>
      <w:r w:rsidR="007F760C">
        <w:rPr>
          <w:bCs/>
        </w:rPr>
        <w:instrText xml:space="preserve"> \* MERGEFORMAT </w:instrText>
      </w:r>
      <w:r w:rsidR="00420DE1">
        <w:rPr>
          <w:bCs/>
        </w:rPr>
        <w:fldChar w:fldCharType="separate"/>
      </w:r>
    </w:p>
    <w:tbl>
      <w:tblPr>
        <w:tblW w:w="3458" w:type="dxa"/>
        <w:tblInd w:w="1252" w:type="dxa"/>
        <w:tblLook w:val="04A0" w:firstRow="1" w:lastRow="0" w:firstColumn="1" w:lastColumn="0" w:noHBand="0" w:noVBand="1"/>
      </w:tblPr>
      <w:tblGrid>
        <w:gridCol w:w="1134"/>
        <w:gridCol w:w="972"/>
        <w:gridCol w:w="1485"/>
      </w:tblGrid>
      <w:tr w:rsidR="00191541" w:rsidRPr="00191541" w14:paraId="0BBFB0D9" w14:textId="77777777" w:rsidTr="00191541">
        <w:trPr>
          <w:divId w:val="1432358044"/>
          <w:trHeight w:val="668"/>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9C7A3C" w14:textId="77777777" w:rsidR="00191541" w:rsidRPr="00CB1B58" w:rsidRDefault="00191541" w:rsidP="00191541">
            <w:pPr>
              <w:jc w:val="center"/>
              <w:rPr>
                <w:rFonts w:cs="Arial"/>
                <w:sz w:val="20"/>
                <w:lang w:eastAsia="en-GB"/>
              </w:rPr>
            </w:pPr>
            <w:r w:rsidRPr="00CB1B58">
              <w:rPr>
                <w:rFonts w:cs="Arial"/>
                <w:sz w:val="20"/>
                <w:lang w:eastAsia="en-GB"/>
              </w:rPr>
              <w:t>Quarter 2 Variance</w:t>
            </w:r>
          </w:p>
        </w:tc>
        <w:tc>
          <w:tcPr>
            <w:tcW w:w="839" w:type="dxa"/>
            <w:tcBorders>
              <w:top w:val="single" w:sz="4" w:space="0" w:color="auto"/>
              <w:left w:val="nil"/>
              <w:bottom w:val="single" w:sz="4" w:space="0" w:color="auto"/>
              <w:right w:val="single" w:sz="4" w:space="0" w:color="auto"/>
            </w:tcBorders>
            <w:shd w:val="clear" w:color="auto" w:fill="auto"/>
            <w:vAlign w:val="bottom"/>
            <w:hideMark/>
          </w:tcPr>
          <w:p w14:paraId="140A1675" w14:textId="77777777" w:rsidR="00191541" w:rsidRPr="00CB1B58" w:rsidRDefault="00191541">
            <w:pPr>
              <w:jc w:val="center"/>
              <w:rPr>
                <w:rFonts w:cs="Arial"/>
                <w:sz w:val="20"/>
                <w:lang w:eastAsia="en-GB"/>
              </w:rPr>
            </w:pPr>
            <w:r w:rsidRPr="00CB1B58">
              <w:rPr>
                <w:rFonts w:cs="Arial"/>
                <w:sz w:val="20"/>
                <w:lang w:eastAsia="en-GB"/>
              </w:rPr>
              <w:t>Quarter 1 variance</w:t>
            </w:r>
          </w:p>
        </w:tc>
        <w:tc>
          <w:tcPr>
            <w:tcW w:w="1485" w:type="dxa"/>
            <w:tcBorders>
              <w:top w:val="single" w:sz="4" w:space="0" w:color="auto"/>
              <w:left w:val="nil"/>
              <w:bottom w:val="single" w:sz="4" w:space="0" w:color="auto"/>
              <w:right w:val="single" w:sz="4" w:space="0" w:color="auto"/>
            </w:tcBorders>
            <w:shd w:val="clear" w:color="auto" w:fill="auto"/>
            <w:vAlign w:val="bottom"/>
            <w:hideMark/>
          </w:tcPr>
          <w:p w14:paraId="620C44FE" w14:textId="77777777" w:rsidR="00191541" w:rsidRPr="00CB1B58" w:rsidRDefault="00191541">
            <w:pPr>
              <w:jc w:val="center"/>
              <w:rPr>
                <w:rFonts w:cs="Arial"/>
                <w:sz w:val="20"/>
                <w:lang w:eastAsia="en-GB"/>
              </w:rPr>
            </w:pPr>
            <w:r w:rsidRPr="00CB1B58">
              <w:rPr>
                <w:rFonts w:cs="Arial"/>
                <w:sz w:val="20"/>
                <w:lang w:eastAsia="en-GB"/>
              </w:rPr>
              <w:t>Movement between Quarter 2 and Quarter 1</w:t>
            </w:r>
          </w:p>
        </w:tc>
      </w:tr>
      <w:tr w:rsidR="00191541" w:rsidRPr="00191541" w14:paraId="5394619F" w14:textId="77777777" w:rsidTr="00191541">
        <w:trPr>
          <w:divId w:val="1432358044"/>
          <w:trHeight w:val="222"/>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3F02FE0" w14:textId="77777777" w:rsidR="00191541" w:rsidRPr="00CB1B58" w:rsidRDefault="00191541" w:rsidP="00191541">
            <w:pPr>
              <w:jc w:val="center"/>
              <w:rPr>
                <w:rFonts w:cs="Arial"/>
                <w:sz w:val="20"/>
                <w:lang w:eastAsia="en-GB"/>
              </w:rPr>
            </w:pPr>
            <w:r w:rsidRPr="00CB1B58">
              <w:rPr>
                <w:rFonts w:cs="Arial"/>
                <w:sz w:val="20"/>
                <w:lang w:eastAsia="en-GB"/>
              </w:rPr>
              <w:t>£’000</w:t>
            </w:r>
          </w:p>
        </w:tc>
        <w:tc>
          <w:tcPr>
            <w:tcW w:w="839" w:type="dxa"/>
            <w:tcBorders>
              <w:top w:val="nil"/>
              <w:left w:val="nil"/>
              <w:bottom w:val="single" w:sz="4" w:space="0" w:color="auto"/>
              <w:right w:val="single" w:sz="4" w:space="0" w:color="auto"/>
            </w:tcBorders>
            <w:shd w:val="clear" w:color="auto" w:fill="auto"/>
            <w:noWrap/>
            <w:vAlign w:val="bottom"/>
            <w:hideMark/>
          </w:tcPr>
          <w:p w14:paraId="4069834F" w14:textId="77777777" w:rsidR="00191541" w:rsidRPr="00CB1B58" w:rsidRDefault="00191541">
            <w:pPr>
              <w:jc w:val="center"/>
              <w:rPr>
                <w:rFonts w:cs="Arial"/>
                <w:sz w:val="20"/>
                <w:lang w:eastAsia="en-GB"/>
              </w:rPr>
            </w:pPr>
            <w:r w:rsidRPr="00CB1B58">
              <w:rPr>
                <w:rFonts w:cs="Arial"/>
                <w:sz w:val="20"/>
                <w:lang w:eastAsia="en-GB"/>
              </w:rPr>
              <w:t>£’000</w:t>
            </w:r>
          </w:p>
        </w:tc>
        <w:tc>
          <w:tcPr>
            <w:tcW w:w="1485" w:type="dxa"/>
            <w:tcBorders>
              <w:top w:val="nil"/>
              <w:left w:val="nil"/>
              <w:bottom w:val="single" w:sz="4" w:space="0" w:color="auto"/>
              <w:right w:val="single" w:sz="4" w:space="0" w:color="auto"/>
            </w:tcBorders>
            <w:shd w:val="clear" w:color="auto" w:fill="auto"/>
            <w:noWrap/>
            <w:vAlign w:val="bottom"/>
            <w:hideMark/>
          </w:tcPr>
          <w:p w14:paraId="2ADF4CDC" w14:textId="77777777" w:rsidR="00191541" w:rsidRPr="00CB1B58" w:rsidRDefault="00191541">
            <w:pPr>
              <w:jc w:val="center"/>
              <w:rPr>
                <w:rFonts w:cs="Arial"/>
                <w:sz w:val="20"/>
                <w:lang w:eastAsia="en-GB"/>
              </w:rPr>
            </w:pPr>
            <w:r w:rsidRPr="00CB1B58">
              <w:rPr>
                <w:rFonts w:cs="Arial"/>
                <w:sz w:val="20"/>
                <w:lang w:eastAsia="en-GB"/>
              </w:rPr>
              <w:t>£’000</w:t>
            </w:r>
          </w:p>
        </w:tc>
      </w:tr>
      <w:tr w:rsidR="00191541" w:rsidRPr="00191541" w14:paraId="44C5F611" w14:textId="77777777" w:rsidTr="00191541">
        <w:trPr>
          <w:divId w:val="1432358044"/>
          <w:trHeight w:val="22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E71F876" w14:textId="77777777" w:rsidR="00191541" w:rsidRPr="00CB1B58" w:rsidRDefault="00191541" w:rsidP="00191541">
            <w:pPr>
              <w:jc w:val="center"/>
              <w:rPr>
                <w:rFonts w:cs="Arial"/>
                <w:sz w:val="20"/>
                <w:lang w:eastAsia="en-GB"/>
              </w:rPr>
            </w:pPr>
            <w:r w:rsidRPr="00CB1B58">
              <w:rPr>
                <w:rFonts w:cs="Arial"/>
                <w:sz w:val="20"/>
                <w:lang w:eastAsia="en-GB"/>
              </w:rPr>
              <w:t xml:space="preserve">             3,560 </w:t>
            </w:r>
          </w:p>
        </w:tc>
        <w:tc>
          <w:tcPr>
            <w:tcW w:w="839" w:type="dxa"/>
            <w:tcBorders>
              <w:top w:val="nil"/>
              <w:left w:val="nil"/>
              <w:bottom w:val="single" w:sz="4" w:space="0" w:color="auto"/>
              <w:right w:val="single" w:sz="4" w:space="0" w:color="auto"/>
            </w:tcBorders>
            <w:shd w:val="clear" w:color="auto" w:fill="auto"/>
            <w:noWrap/>
            <w:vAlign w:val="center"/>
            <w:hideMark/>
          </w:tcPr>
          <w:p w14:paraId="7555AFB0" w14:textId="77777777" w:rsidR="00191541" w:rsidRPr="00CB1B58" w:rsidRDefault="00191541">
            <w:pPr>
              <w:jc w:val="center"/>
              <w:rPr>
                <w:rFonts w:cs="Arial"/>
                <w:sz w:val="20"/>
                <w:lang w:eastAsia="en-GB"/>
              </w:rPr>
            </w:pPr>
            <w:r w:rsidRPr="00CB1B58">
              <w:rPr>
                <w:rFonts w:cs="Arial"/>
                <w:sz w:val="20"/>
                <w:lang w:eastAsia="en-GB"/>
              </w:rPr>
              <w:t xml:space="preserve">       3,001 </w:t>
            </w:r>
          </w:p>
        </w:tc>
        <w:tc>
          <w:tcPr>
            <w:tcW w:w="1485" w:type="dxa"/>
            <w:tcBorders>
              <w:top w:val="nil"/>
              <w:left w:val="nil"/>
              <w:bottom w:val="single" w:sz="4" w:space="0" w:color="auto"/>
              <w:right w:val="single" w:sz="4" w:space="0" w:color="auto"/>
            </w:tcBorders>
            <w:shd w:val="clear" w:color="auto" w:fill="auto"/>
            <w:noWrap/>
            <w:vAlign w:val="bottom"/>
            <w:hideMark/>
          </w:tcPr>
          <w:p w14:paraId="7341F7A2" w14:textId="2DEB665D" w:rsidR="00191541" w:rsidRPr="00CB1B58" w:rsidRDefault="00690541">
            <w:pPr>
              <w:jc w:val="center"/>
              <w:rPr>
                <w:rFonts w:cs="Arial"/>
                <w:sz w:val="20"/>
                <w:lang w:eastAsia="en-GB"/>
              </w:rPr>
            </w:pPr>
            <w:r>
              <w:rPr>
                <w:rFonts w:cs="Arial"/>
                <w:sz w:val="20"/>
                <w:lang w:eastAsia="en-GB"/>
              </w:rPr>
              <w:t>(</w:t>
            </w:r>
            <w:r w:rsidR="00191541" w:rsidRPr="00CB1B58">
              <w:rPr>
                <w:rFonts w:cs="Arial"/>
                <w:sz w:val="20"/>
                <w:lang w:eastAsia="en-GB"/>
              </w:rPr>
              <w:t>559</w:t>
            </w:r>
            <w:r>
              <w:rPr>
                <w:rFonts w:cs="Arial"/>
                <w:sz w:val="20"/>
                <w:lang w:eastAsia="en-GB"/>
              </w:rPr>
              <w:t>)</w:t>
            </w:r>
          </w:p>
        </w:tc>
      </w:tr>
    </w:tbl>
    <w:p w14:paraId="17764F04" w14:textId="6A3A3BFE" w:rsidR="00A66B94" w:rsidRDefault="00420DE1" w:rsidP="00CB1B58">
      <w:pPr>
        <w:pStyle w:val="ListParagraph"/>
        <w:rPr>
          <w:rFonts w:cs="Arial"/>
          <w:b/>
          <w:szCs w:val="24"/>
        </w:rPr>
      </w:pPr>
      <w:r>
        <w:rPr>
          <w:bCs/>
        </w:rPr>
        <w:fldChar w:fldCharType="end"/>
      </w:r>
      <w:r w:rsidR="00627173">
        <w:rPr>
          <w:rFonts w:cs="Arial"/>
          <w:b/>
          <w:szCs w:val="24"/>
        </w:rPr>
        <w:t xml:space="preserve">  </w:t>
      </w:r>
      <w:r w:rsidR="005359A0">
        <w:rPr>
          <w:rFonts w:cs="Arial"/>
          <w:b/>
          <w:szCs w:val="24"/>
        </w:rPr>
        <w:t xml:space="preserve"> </w:t>
      </w:r>
    </w:p>
    <w:p w14:paraId="0A980BF4" w14:textId="77777777" w:rsidR="005C1136" w:rsidRDefault="007F760C" w:rsidP="00CB1B58">
      <w:pPr>
        <w:pStyle w:val="ListParagraph"/>
        <w:numPr>
          <w:ilvl w:val="1"/>
          <w:numId w:val="64"/>
        </w:numPr>
        <w:spacing w:after="120"/>
        <w:ind w:left="709" w:hanging="709"/>
        <w:jc w:val="both"/>
        <w:rPr>
          <w:bCs/>
        </w:rPr>
      </w:pPr>
      <w:r w:rsidRPr="00CB1B58">
        <w:rPr>
          <w:b/>
          <w:bCs/>
        </w:rPr>
        <w:t>£638k Reduction in children’s placements spend</w:t>
      </w:r>
      <w:r>
        <w:rPr>
          <w:bCs/>
        </w:rPr>
        <w:t xml:space="preserve"> </w:t>
      </w:r>
      <w:r w:rsidRPr="007F760C">
        <w:rPr>
          <w:bCs/>
        </w:rPr>
        <w:t>This reduction results from planned actions from a series of regular children’s placements challenge panels which are chaired by the Divisional Director. In particular there have been significant reductions to the numbers of children in residential, external fostering and semi-independent placements which have largely resulted in this reduction in forecast costs</w:t>
      </w:r>
      <w:r w:rsidR="005C1136">
        <w:rPr>
          <w:bCs/>
        </w:rPr>
        <w:t>.</w:t>
      </w:r>
    </w:p>
    <w:p w14:paraId="7CF4138B" w14:textId="77777777" w:rsidR="005C1136" w:rsidRDefault="007F760C" w:rsidP="00CB1B58">
      <w:pPr>
        <w:pStyle w:val="ListParagraph"/>
        <w:numPr>
          <w:ilvl w:val="1"/>
          <w:numId w:val="64"/>
        </w:numPr>
        <w:spacing w:after="120"/>
        <w:ind w:left="709" w:hanging="709"/>
        <w:jc w:val="both"/>
        <w:rPr>
          <w:bCs/>
        </w:rPr>
      </w:pPr>
      <w:r w:rsidRPr="005C1136">
        <w:rPr>
          <w:bCs/>
        </w:rPr>
        <w:t xml:space="preserve"> </w:t>
      </w:r>
      <w:r w:rsidR="005C1136" w:rsidRPr="005C1136">
        <w:rPr>
          <w:b/>
          <w:bCs/>
        </w:rPr>
        <w:t>£72k Reduction in Children and Young People staffing spend</w:t>
      </w:r>
      <w:r w:rsidR="005C1136">
        <w:rPr>
          <w:b/>
          <w:bCs/>
        </w:rPr>
        <w:t xml:space="preserve"> </w:t>
      </w:r>
      <w:r w:rsidR="005C1136" w:rsidRPr="005C1136">
        <w:rPr>
          <w:bCs/>
        </w:rPr>
        <w:t>This reduction results from increased management scrutiny of staffing spend together with initiatives to reduce agency costs such as the permanent recruitment of social workers from India and the frontline and step-up graduate social work programme</w:t>
      </w:r>
      <w:r w:rsidR="005C1136">
        <w:rPr>
          <w:bCs/>
        </w:rPr>
        <w:t>.</w:t>
      </w:r>
    </w:p>
    <w:p w14:paraId="4282D159" w14:textId="77777777" w:rsidR="005C1136" w:rsidRDefault="005C1136" w:rsidP="00CB1B58">
      <w:pPr>
        <w:pStyle w:val="ListParagraph"/>
        <w:numPr>
          <w:ilvl w:val="1"/>
          <w:numId w:val="64"/>
        </w:numPr>
        <w:spacing w:after="120"/>
        <w:ind w:left="709" w:hanging="709"/>
        <w:jc w:val="both"/>
        <w:rPr>
          <w:bCs/>
        </w:rPr>
      </w:pPr>
      <w:r w:rsidRPr="00CB1B58">
        <w:rPr>
          <w:b/>
          <w:bCs/>
        </w:rPr>
        <w:t>£130k Under Spend identified in the Early Support Service</w:t>
      </w:r>
      <w:r>
        <w:rPr>
          <w:b/>
          <w:bCs/>
        </w:rPr>
        <w:t xml:space="preserve"> </w:t>
      </w:r>
      <w:r w:rsidRPr="005C1136">
        <w:rPr>
          <w:bCs/>
        </w:rPr>
        <w:t>This under spend results from part year staffing vacancies, one-off income and a saving in relation to the Citizen’s Advice Bureau contract</w:t>
      </w:r>
      <w:r>
        <w:rPr>
          <w:bCs/>
        </w:rPr>
        <w:t>.</w:t>
      </w:r>
    </w:p>
    <w:p w14:paraId="727A232B" w14:textId="465E6B96" w:rsidR="005C1136" w:rsidRDefault="005C1136" w:rsidP="00CB1B58">
      <w:pPr>
        <w:pStyle w:val="ListParagraph"/>
        <w:numPr>
          <w:ilvl w:val="1"/>
          <w:numId w:val="64"/>
        </w:numPr>
        <w:ind w:left="709" w:hanging="709"/>
        <w:rPr>
          <w:bCs/>
        </w:rPr>
      </w:pPr>
      <w:r w:rsidRPr="00CB1B58">
        <w:rPr>
          <w:b/>
          <w:bCs/>
        </w:rPr>
        <w:t xml:space="preserve">£64k </w:t>
      </w:r>
      <w:proofErr w:type="gramStart"/>
      <w:r w:rsidRPr="00CB1B58">
        <w:rPr>
          <w:b/>
          <w:bCs/>
        </w:rPr>
        <w:t>Other</w:t>
      </w:r>
      <w:proofErr w:type="gramEnd"/>
      <w:r w:rsidRPr="00CB1B58">
        <w:rPr>
          <w:b/>
          <w:bCs/>
        </w:rPr>
        <w:t xml:space="preserve"> small reductions across the directorate</w:t>
      </w:r>
      <w:r>
        <w:rPr>
          <w:bCs/>
        </w:rPr>
        <w:t>.</w:t>
      </w:r>
    </w:p>
    <w:p w14:paraId="7CE1B411" w14:textId="53CCBFBD" w:rsidR="005C1136" w:rsidRPr="005C1136" w:rsidRDefault="005C1136" w:rsidP="00CB1B58">
      <w:pPr>
        <w:pStyle w:val="ListParagraph"/>
        <w:ind w:left="1033"/>
        <w:rPr>
          <w:bCs/>
        </w:rPr>
      </w:pPr>
    </w:p>
    <w:p w14:paraId="63C3E143" w14:textId="77777777" w:rsidR="00690541" w:rsidRDefault="00690541" w:rsidP="00CB1B58">
      <w:pPr>
        <w:pStyle w:val="ListParagraph"/>
        <w:numPr>
          <w:ilvl w:val="1"/>
          <w:numId w:val="64"/>
        </w:numPr>
        <w:spacing w:after="120"/>
        <w:ind w:left="709" w:hanging="709"/>
        <w:jc w:val="both"/>
        <w:rPr>
          <w:bCs/>
        </w:rPr>
      </w:pPr>
      <w:r w:rsidRPr="00690541">
        <w:rPr>
          <w:bCs/>
        </w:rPr>
        <w:t>The above reductions are partially offset by</w:t>
      </w:r>
    </w:p>
    <w:p w14:paraId="2C838C96" w14:textId="77777777" w:rsidR="00690541" w:rsidRPr="00022EDA" w:rsidRDefault="00690541" w:rsidP="00CB1B58">
      <w:pPr>
        <w:pStyle w:val="ListParagraph"/>
        <w:rPr>
          <w:bCs/>
        </w:rPr>
      </w:pPr>
    </w:p>
    <w:p w14:paraId="3015726B" w14:textId="791DEEA6" w:rsidR="00690541" w:rsidRPr="00690541" w:rsidRDefault="00690541" w:rsidP="00CB1B58">
      <w:pPr>
        <w:pStyle w:val="ListParagraph"/>
        <w:numPr>
          <w:ilvl w:val="1"/>
          <w:numId w:val="64"/>
        </w:numPr>
        <w:spacing w:after="120"/>
        <w:ind w:left="709" w:hanging="709"/>
        <w:jc w:val="both"/>
        <w:rPr>
          <w:bCs/>
        </w:rPr>
      </w:pPr>
      <w:r w:rsidRPr="00CB1B58">
        <w:rPr>
          <w:b/>
          <w:bCs/>
        </w:rPr>
        <w:t>£179k Overspend identified in the Harrow School Improvement</w:t>
      </w:r>
      <w:r w:rsidRPr="00690541">
        <w:rPr>
          <w:bCs/>
        </w:rPr>
        <w:t xml:space="preserve"> </w:t>
      </w:r>
      <w:r w:rsidRPr="00CB1B58">
        <w:rPr>
          <w:b/>
          <w:bCs/>
        </w:rPr>
        <w:t>Partnership</w:t>
      </w:r>
      <w:r w:rsidR="008622FB" w:rsidRPr="008622FB">
        <w:rPr>
          <w:bCs/>
        </w:rPr>
        <w:t xml:space="preserve"> </w:t>
      </w:r>
      <w:r w:rsidR="008622FB">
        <w:rPr>
          <w:bCs/>
        </w:rPr>
        <w:t xml:space="preserve">- </w:t>
      </w:r>
      <w:r w:rsidR="008622FB" w:rsidRPr="008622FB">
        <w:rPr>
          <w:bCs/>
        </w:rPr>
        <w:t>This overspends results from a shortfall of income in the Harrow School Improvement Partnership which is required to recover the full cost of running the service</w:t>
      </w:r>
      <w:r w:rsidR="008622FB">
        <w:rPr>
          <w:bCs/>
        </w:rPr>
        <w:t>.</w:t>
      </w:r>
    </w:p>
    <w:p w14:paraId="36C91F84" w14:textId="60B9B8AA" w:rsidR="008622FB" w:rsidRDefault="008622FB" w:rsidP="00CB1B58">
      <w:pPr>
        <w:pStyle w:val="ListParagraph"/>
        <w:numPr>
          <w:ilvl w:val="1"/>
          <w:numId w:val="64"/>
        </w:numPr>
        <w:spacing w:after="120"/>
        <w:ind w:left="709" w:hanging="709"/>
        <w:jc w:val="both"/>
        <w:rPr>
          <w:bCs/>
        </w:rPr>
      </w:pPr>
      <w:r w:rsidRPr="00CB1B58">
        <w:rPr>
          <w:b/>
          <w:bCs/>
        </w:rPr>
        <w:t>£166k of management actions were assumed in Quarter 1</w:t>
      </w:r>
      <w:r>
        <w:rPr>
          <w:bCs/>
        </w:rPr>
        <w:t>, this has</w:t>
      </w:r>
      <w:r w:rsidRPr="008622FB">
        <w:rPr>
          <w:bCs/>
        </w:rPr>
        <w:t xml:space="preserve"> subsequently been realised within the movements above</w:t>
      </w:r>
      <w:r>
        <w:rPr>
          <w:bCs/>
        </w:rPr>
        <w:t>.</w:t>
      </w:r>
    </w:p>
    <w:p w14:paraId="49BEFA45" w14:textId="576141C3" w:rsidR="00323377" w:rsidRPr="000B0B9B" w:rsidRDefault="00323377" w:rsidP="00CB1B58">
      <w:pPr>
        <w:spacing w:after="120"/>
        <w:jc w:val="both"/>
        <w:rPr>
          <w:bCs/>
        </w:rPr>
      </w:pPr>
    </w:p>
    <w:p w14:paraId="30A4E8F8" w14:textId="0B60B72A" w:rsidR="00A7379D" w:rsidRDefault="00B60E46" w:rsidP="00A90476">
      <w:pPr>
        <w:pStyle w:val="ListParagraph"/>
        <w:numPr>
          <w:ilvl w:val="1"/>
          <w:numId w:val="64"/>
        </w:numPr>
        <w:spacing w:after="120"/>
        <w:ind w:left="709" w:hanging="709"/>
        <w:jc w:val="both"/>
        <w:rPr>
          <w:bCs/>
        </w:rPr>
      </w:pPr>
      <w:r>
        <w:rPr>
          <w:bCs/>
        </w:rPr>
        <w:t xml:space="preserve">The </w:t>
      </w:r>
      <w:r w:rsidR="00323377">
        <w:rPr>
          <w:bCs/>
        </w:rPr>
        <w:t xml:space="preserve">headline </w:t>
      </w:r>
      <w:r>
        <w:rPr>
          <w:bCs/>
        </w:rPr>
        <w:t xml:space="preserve">pressures </w:t>
      </w:r>
      <w:r w:rsidR="00323377">
        <w:rPr>
          <w:bCs/>
        </w:rPr>
        <w:t xml:space="preserve"> of £</w:t>
      </w:r>
      <w:r w:rsidR="005C52F5">
        <w:rPr>
          <w:bCs/>
        </w:rPr>
        <w:t>3</w:t>
      </w:r>
      <w:r w:rsidR="005A6DF0">
        <w:rPr>
          <w:bCs/>
        </w:rPr>
        <w:t>.</w:t>
      </w:r>
      <w:r w:rsidR="0091766E">
        <w:rPr>
          <w:bCs/>
        </w:rPr>
        <w:t>883</w:t>
      </w:r>
      <w:r w:rsidR="005A6DF0">
        <w:rPr>
          <w:bCs/>
        </w:rPr>
        <w:t>m are as follows</w:t>
      </w:r>
      <w:r>
        <w:rPr>
          <w:bCs/>
        </w:rPr>
        <w:t>:</w:t>
      </w:r>
    </w:p>
    <w:p w14:paraId="506FC4BE" w14:textId="0D6E2419" w:rsidR="000F6E2C" w:rsidRDefault="000F6E2C" w:rsidP="00A90476">
      <w:pPr>
        <w:pStyle w:val="ListParagraph"/>
        <w:numPr>
          <w:ilvl w:val="1"/>
          <w:numId w:val="64"/>
        </w:numPr>
        <w:spacing w:after="120"/>
        <w:ind w:left="709" w:hanging="709"/>
        <w:jc w:val="both"/>
        <w:rPr>
          <w:bCs/>
        </w:rPr>
      </w:pPr>
      <w:r w:rsidRPr="000F6E2C">
        <w:rPr>
          <w:b/>
        </w:rPr>
        <w:t>Children’s Placements and Accommodation £</w:t>
      </w:r>
      <w:r w:rsidR="005C52F5">
        <w:rPr>
          <w:b/>
        </w:rPr>
        <w:t>2.622</w:t>
      </w:r>
      <w:r w:rsidRPr="000F6E2C">
        <w:rPr>
          <w:b/>
        </w:rPr>
        <w:t>m overspend</w:t>
      </w:r>
      <w:r>
        <w:t xml:space="preserve"> </w:t>
      </w:r>
      <w:r w:rsidRPr="00933D6D">
        <w:rPr>
          <w:bCs/>
        </w:rPr>
        <w:t>There is an overall reduction of £6</w:t>
      </w:r>
      <w:r w:rsidR="005C52F5">
        <w:rPr>
          <w:bCs/>
        </w:rPr>
        <w:t>38</w:t>
      </w:r>
      <w:r w:rsidRPr="00933D6D">
        <w:rPr>
          <w:bCs/>
        </w:rPr>
        <w:t xml:space="preserve">k from </w:t>
      </w:r>
      <w:proofErr w:type="gramStart"/>
      <w:r w:rsidRPr="00933D6D">
        <w:rPr>
          <w:bCs/>
        </w:rPr>
        <w:t>the overspend</w:t>
      </w:r>
      <w:proofErr w:type="gramEnd"/>
      <w:r w:rsidRPr="00933D6D">
        <w:rPr>
          <w:bCs/>
        </w:rPr>
        <w:t xml:space="preserve"> reported at </w:t>
      </w:r>
      <w:r w:rsidR="005C52F5">
        <w:rPr>
          <w:bCs/>
        </w:rPr>
        <w:t>Quarter 1</w:t>
      </w:r>
      <w:r w:rsidRPr="00933D6D">
        <w:rPr>
          <w:bCs/>
        </w:rPr>
        <w:t>. As part of the service’s planned actions</w:t>
      </w:r>
      <w:r w:rsidR="00FC1E0A">
        <w:rPr>
          <w:bCs/>
        </w:rPr>
        <w:t>,</w:t>
      </w:r>
      <w:r w:rsidRPr="00933D6D">
        <w:rPr>
          <w:bCs/>
        </w:rPr>
        <w:t xml:space="preserve"> </w:t>
      </w:r>
      <w:r w:rsidR="00D20D5B">
        <w:rPr>
          <w:bCs/>
        </w:rPr>
        <w:t>4</w:t>
      </w:r>
      <w:r w:rsidRPr="00933D6D">
        <w:rPr>
          <w:bCs/>
        </w:rPr>
        <w:t xml:space="preserve"> young person’s </w:t>
      </w:r>
      <w:r w:rsidR="00AD1A8D">
        <w:rPr>
          <w:bCs/>
        </w:rPr>
        <w:t xml:space="preserve">residential </w:t>
      </w:r>
      <w:r w:rsidRPr="00933D6D">
        <w:rPr>
          <w:bCs/>
        </w:rPr>
        <w:t xml:space="preserve">placements packages have </w:t>
      </w:r>
      <w:r w:rsidR="00AD1A8D">
        <w:rPr>
          <w:bCs/>
        </w:rPr>
        <w:t>ended</w:t>
      </w:r>
      <w:r w:rsidRPr="00933D6D">
        <w:rPr>
          <w:bCs/>
        </w:rPr>
        <w:t>,</w:t>
      </w:r>
      <w:r w:rsidR="00AD1A8D">
        <w:rPr>
          <w:bCs/>
        </w:rPr>
        <w:t xml:space="preserve"> 1 has been moved to </w:t>
      </w:r>
      <w:r w:rsidR="00D20D5B">
        <w:rPr>
          <w:bCs/>
        </w:rPr>
        <w:t xml:space="preserve">an </w:t>
      </w:r>
      <w:r w:rsidR="00AD1A8D">
        <w:rPr>
          <w:bCs/>
        </w:rPr>
        <w:t>external fostering pl</w:t>
      </w:r>
      <w:r w:rsidR="00D20D5B">
        <w:rPr>
          <w:bCs/>
        </w:rPr>
        <w:t>acement, one has moved into an in-house fostering placement and another 2 to</w:t>
      </w:r>
      <w:r w:rsidR="00AD1A8D">
        <w:rPr>
          <w:bCs/>
        </w:rPr>
        <w:t xml:space="preserve"> semi-independent placement</w:t>
      </w:r>
      <w:r w:rsidR="00D20D5B">
        <w:rPr>
          <w:bCs/>
        </w:rPr>
        <w:t>s</w:t>
      </w:r>
      <w:r w:rsidR="00FC1E0A">
        <w:rPr>
          <w:bCs/>
        </w:rPr>
        <w:t xml:space="preserve"> </w:t>
      </w:r>
      <w:r w:rsidRPr="00933D6D">
        <w:rPr>
          <w:bCs/>
        </w:rPr>
        <w:t>resulting in reduction</w:t>
      </w:r>
      <w:r w:rsidR="00FC1E0A">
        <w:rPr>
          <w:bCs/>
        </w:rPr>
        <w:t>s</w:t>
      </w:r>
      <w:r w:rsidRPr="00933D6D">
        <w:rPr>
          <w:bCs/>
        </w:rPr>
        <w:t xml:space="preserve"> in weekly costs. </w:t>
      </w:r>
    </w:p>
    <w:p w14:paraId="2435738E" w14:textId="787A1373" w:rsidR="000F6E2C" w:rsidRDefault="000F6E2C" w:rsidP="00A90476">
      <w:pPr>
        <w:pStyle w:val="ListParagraph"/>
        <w:numPr>
          <w:ilvl w:val="1"/>
          <w:numId w:val="64"/>
        </w:numPr>
        <w:spacing w:after="120"/>
        <w:ind w:left="709" w:hanging="709"/>
        <w:jc w:val="both"/>
        <w:rPr>
          <w:bCs/>
        </w:rPr>
      </w:pPr>
      <w:r w:rsidRPr="00A7359D">
        <w:rPr>
          <w:iCs/>
        </w:rPr>
        <w:t>In order to mitiga</w:t>
      </w:r>
      <w:r w:rsidRPr="00385924">
        <w:rPr>
          <w:iCs/>
        </w:rPr>
        <w:t xml:space="preserve">te and monitor </w:t>
      </w:r>
      <w:proofErr w:type="gramStart"/>
      <w:r w:rsidRPr="00385924">
        <w:rPr>
          <w:iCs/>
        </w:rPr>
        <w:t>the spend</w:t>
      </w:r>
      <w:proofErr w:type="gramEnd"/>
      <w:r w:rsidRPr="00385924">
        <w:rPr>
          <w:iCs/>
        </w:rPr>
        <w:t xml:space="preserve"> on children’s placements a </w:t>
      </w:r>
      <w:r>
        <w:rPr>
          <w:iCs/>
        </w:rPr>
        <w:t xml:space="preserve">schedule </w:t>
      </w:r>
      <w:r w:rsidRPr="00385924">
        <w:rPr>
          <w:iCs/>
        </w:rPr>
        <w:t>of panels has been drawn up to scrutinize and reduce costs. These panels, chaired by the Divisional Director, include</w:t>
      </w:r>
      <w:r>
        <w:rPr>
          <w:iCs/>
        </w:rPr>
        <w:t>;</w:t>
      </w:r>
    </w:p>
    <w:p w14:paraId="70D622FE" w14:textId="5924199D" w:rsidR="00144C1D" w:rsidRPr="00DA6F37" w:rsidRDefault="000F6E2C" w:rsidP="00DA6F37">
      <w:pPr>
        <w:jc w:val="both"/>
        <w:rPr>
          <w:iCs/>
        </w:rPr>
      </w:pPr>
      <w:r>
        <w:rPr>
          <w:bCs/>
        </w:rPr>
        <w:t>.</w:t>
      </w:r>
    </w:p>
    <w:p w14:paraId="35309DA2" w14:textId="77777777" w:rsidR="00144C1D" w:rsidRDefault="00144C1D" w:rsidP="00404B4F">
      <w:pPr>
        <w:numPr>
          <w:ilvl w:val="0"/>
          <w:numId w:val="46"/>
        </w:numPr>
        <w:suppressAutoHyphens/>
        <w:ind w:left="851" w:hanging="284"/>
        <w:jc w:val="both"/>
      </w:pPr>
      <w:r>
        <w:t>Weekly Access to Resources Panel – no new spends are permitted without exploring alternatives.</w:t>
      </w:r>
    </w:p>
    <w:p w14:paraId="251C152A" w14:textId="77777777" w:rsidR="00144C1D" w:rsidRDefault="00144C1D" w:rsidP="00D30E09">
      <w:pPr>
        <w:ind w:left="851" w:hanging="491"/>
        <w:jc w:val="both"/>
      </w:pPr>
    </w:p>
    <w:p w14:paraId="4164A068" w14:textId="77777777" w:rsidR="00144C1D" w:rsidRDefault="00144C1D" w:rsidP="00404B4F">
      <w:pPr>
        <w:numPr>
          <w:ilvl w:val="0"/>
          <w:numId w:val="46"/>
        </w:numPr>
        <w:suppressAutoHyphens/>
        <w:ind w:left="851" w:hanging="284"/>
        <w:jc w:val="both"/>
      </w:pPr>
      <w:r>
        <w:t>A monthly themed panel focussing on high cost areas such as semi-independent and leaving care costs.</w:t>
      </w:r>
    </w:p>
    <w:p w14:paraId="4C6A9FCE" w14:textId="77777777" w:rsidR="00144C1D" w:rsidRDefault="00144C1D" w:rsidP="00D30E09">
      <w:pPr>
        <w:pStyle w:val="ListParagraph"/>
        <w:ind w:left="851" w:hanging="491"/>
        <w:jc w:val="both"/>
      </w:pPr>
    </w:p>
    <w:p w14:paraId="31817C80" w14:textId="77777777" w:rsidR="00144C1D" w:rsidRDefault="00144C1D" w:rsidP="00404B4F">
      <w:pPr>
        <w:numPr>
          <w:ilvl w:val="0"/>
          <w:numId w:val="46"/>
        </w:numPr>
        <w:suppressAutoHyphens/>
        <w:ind w:left="851" w:hanging="284"/>
        <w:jc w:val="both"/>
      </w:pPr>
      <w:r>
        <w:t>A monthly tracking panel to ensure that placements are ended in a timely manner.</w:t>
      </w:r>
    </w:p>
    <w:p w14:paraId="4F920C19" w14:textId="77777777" w:rsidR="00144C1D" w:rsidRDefault="00144C1D" w:rsidP="00D30E09">
      <w:pPr>
        <w:pStyle w:val="ListParagraph"/>
        <w:ind w:left="851" w:hanging="491"/>
        <w:jc w:val="both"/>
      </w:pPr>
    </w:p>
    <w:p w14:paraId="64F05EF2" w14:textId="3817B56A" w:rsidR="00ED4141" w:rsidRDefault="00144C1D" w:rsidP="00404B4F">
      <w:pPr>
        <w:numPr>
          <w:ilvl w:val="0"/>
          <w:numId w:val="46"/>
        </w:numPr>
        <w:suppressAutoHyphens/>
        <w:ind w:left="851" w:hanging="284"/>
        <w:jc w:val="both"/>
      </w:pPr>
      <w:r>
        <w:t xml:space="preserve">Revised Tri-Partite Panel to ensure that health contributions are </w:t>
      </w:r>
      <w:r w:rsidR="00ED4141">
        <w:t>maximised.</w:t>
      </w:r>
    </w:p>
    <w:p w14:paraId="4547ADDF" w14:textId="3A9EF523" w:rsidR="007C4E79" w:rsidRDefault="007C4E79" w:rsidP="00ED4141">
      <w:pPr>
        <w:suppressAutoHyphens/>
        <w:ind w:left="360"/>
      </w:pPr>
    </w:p>
    <w:p w14:paraId="5B80C1BA" w14:textId="2C132FFD" w:rsidR="00A7379D" w:rsidRDefault="00A7379D" w:rsidP="00404B4F">
      <w:pPr>
        <w:pStyle w:val="ListParagraph"/>
        <w:numPr>
          <w:ilvl w:val="1"/>
          <w:numId w:val="64"/>
        </w:numPr>
        <w:spacing w:after="120"/>
        <w:ind w:left="709" w:hanging="709"/>
        <w:jc w:val="both"/>
        <w:rPr>
          <w:bCs/>
        </w:rPr>
      </w:pPr>
      <w:r w:rsidRPr="00E276E1">
        <w:rPr>
          <w:b/>
          <w:bCs/>
        </w:rPr>
        <w:t>Children and Young People’s Service Frontline Teams £0.</w:t>
      </w:r>
      <w:r w:rsidR="008C2861">
        <w:rPr>
          <w:b/>
          <w:bCs/>
        </w:rPr>
        <w:t>418</w:t>
      </w:r>
      <w:r w:rsidRPr="00E276E1">
        <w:rPr>
          <w:b/>
          <w:bCs/>
        </w:rPr>
        <w:t>m overspend</w:t>
      </w:r>
      <w:r w:rsidRPr="00E276E1">
        <w:rPr>
          <w:bCs/>
        </w:rPr>
        <w:t xml:space="preserve"> - The majority of </w:t>
      </w:r>
      <w:proofErr w:type="gramStart"/>
      <w:r w:rsidRPr="00E276E1">
        <w:rPr>
          <w:bCs/>
        </w:rPr>
        <w:t>the overspend</w:t>
      </w:r>
      <w:proofErr w:type="gramEnd"/>
      <w:r w:rsidRPr="00E276E1">
        <w:rPr>
          <w:bCs/>
        </w:rPr>
        <w:t xml:space="preserve"> relates to staffing and a breakdown of variances is shown in Table </w:t>
      </w:r>
      <w:r w:rsidR="00040E4D">
        <w:rPr>
          <w:bCs/>
        </w:rPr>
        <w:t>6</w:t>
      </w:r>
      <w:r w:rsidRPr="00E276E1">
        <w:rPr>
          <w:bCs/>
        </w:rPr>
        <w:t xml:space="preserve"> below. The main pressure is as a result of agency staff covering vacant posts, sickness and maternity as well as a super numerate team manager and ‘as and when’ required staff carrying out supervised contact. In addition to this there is a one off cost for overseas social worker recruitment estimated at £50k and anticipated pressures of £150k relating to IT &amp; mobile phone equipment and other non-staffing costs particularly driven by the recent growth in social care staff numbers.</w:t>
      </w:r>
    </w:p>
    <w:p w14:paraId="37883CBE" w14:textId="77777777" w:rsidR="008C2861" w:rsidRDefault="008C2861" w:rsidP="00404B4F">
      <w:pPr>
        <w:pStyle w:val="ListParagraph"/>
        <w:numPr>
          <w:ilvl w:val="1"/>
          <w:numId w:val="64"/>
        </w:numPr>
        <w:spacing w:after="120"/>
        <w:ind w:left="709" w:hanging="709"/>
        <w:jc w:val="both"/>
        <w:rPr>
          <w:bCs/>
        </w:rPr>
      </w:pPr>
      <w:r w:rsidRPr="008C2861">
        <w:rPr>
          <w:bCs/>
        </w:rPr>
        <w:t>Agency costs continue to be reduced during the remainder of the year with the continued arrival of social workers from India, and the permanent recruitment of social workers who complete the front-line and step-up programmes. A total of 11 social workers have already arrived from India. A further 5 are anticipated to arrive in January which would further reduce costs</w:t>
      </w:r>
      <w:r>
        <w:rPr>
          <w:bCs/>
        </w:rPr>
        <w:t>.</w:t>
      </w:r>
    </w:p>
    <w:p w14:paraId="28DA6CEE" w14:textId="14BF875C" w:rsidR="008C2861" w:rsidRDefault="008C2861" w:rsidP="00404B4F">
      <w:pPr>
        <w:pStyle w:val="ListParagraph"/>
        <w:numPr>
          <w:ilvl w:val="1"/>
          <w:numId w:val="64"/>
        </w:numPr>
        <w:spacing w:after="120"/>
        <w:ind w:left="709" w:hanging="709"/>
        <w:jc w:val="both"/>
        <w:rPr>
          <w:bCs/>
        </w:rPr>
      </w:pPr>
      <w:r w:rsidRPr="008C2861">
        <w:rPr>
          <w:bCs/>
        </w:rPr>
        <w:t>There will be further challenges in the coming months, with transition periods for new staffing coming in, and locum staff handing over work safely to maintain service delivery</w:t>
      </w:r>
      <w:r>
        <w:rPr>
          <w:bCs/>
        </w:rPr>
        <w:t>.</w:t>
      </w:r>
    </w:p>
    <w:p w14:paraId="24ED4EC2" w14:textId="77777777" w:rsidR="000C4E78" w:rsidRDefault="000C4E78">
      <w:pPr>
        <w:rPr>
          <w:b/>
          <w:u w:val="single"/>
        </w:rPr>
      </w:pPr>
    </w:p>
    <w:p w14:paraId="3EF3386D" w14:textId="77777777" w:rsidR="000C4E78" w:rsidRDefault="000C4E78">
      <w:pPr>
        <w:rPr>
          <w:b/>
          <w:u w:val="single"/>
        </w:rPr>
      </w:pPr>
    </w:p>
    <w:p w14:paraId="19788D8C" w14:textId="011C6DC2" w:rsidR="0021608E" w:rsidRDefault="00BF1F99">
      <w:pPr>
        <w:rPr>
          <w:b/>
          <w:u w:val="single"/>
        </w:rPr>
      </w:pPr>
      <w:r w:rsidRPr="00CB1B58">
        <w:rPr>
          <w:b/>
          <w:u w:val="single"/>
        </w:rPr>
        <w:t xml:space="preserve">Table </w:t>
      </w:r>
      <w:r w:rsidR="00040E4D">
        <w:rPr>
          <w:b/>
          <w:u w:val="single"/>
        </w:rPr>
        <w:t>6</w:t>
      </w:r>
      <w:r w:rsidR="00AC0A97" w:rsidRPr="00CB1B58">
        <w:rPr>
          <w:b/>
          <w:u w:val="single"/>
        </w:rPr>
        <w:t>:</w:t>
      </w:r>
      <w:r w:rsidRPr="00CB1B58">
        <w:rPr>
          <w:b/>
          <w:u w:val="single"/>
        </w:rPr>
        <w:t xml:space="preserve"> CYP staffing variances to budget</w:t>
      </w:r>
    </w:p>
    <w:p w14:paraId="32768F69" w14:textId="68ABDD1F" w:rsidR="005363E4" w:rsidRDefault="005363E4">
      <w:pPr>
        <w:rPr>
          <w:b/>
          <w:u w:val="single"/>
        </w:rPr>
      </w:pPr>
      <w:r>
        <w:rPr>
          <w:b/>
          <w:noProof/>
          <w:u w:val="single"/>
          <w:lang w:eastAsia="en-GB"/>
        </w:rPr>
        <w:drawing>
          <wp:inline distT="0" distB="0" distL="0" distR="0" wp14:anchorId="6FADC459" wp14:editId="3488AA20">
            <wp:extent cx="4762908" cy="24421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9592" cy="2440472"/>
                    </a:xfrm>
                    <a:prstGeom prst="rect">
                      <a:avLst/>
                    </a:prstGeom>
                    <a:noFill/>
                  </pic:spPr>
                </pic:pic>
              </a:graphicData>
            </a:graphic>
          </wp:inline>
        </w:drawing>
      </w:r>
    </w:p>
    <w:p w14:paraId="46C1F248" w14:textId="77777777" w:rsidR="0021608E" w:rsidRPr="00CB1B58" w:rsidRDefault="0021608E" w:rsidP="00404B4F">
      <w:pPr>
        <w:rPr>
          <w:b/>
          <w:u w:val="single"/>
        </w:rPr>
      </w:pPr>
    </w:p>
    <w:p w14:paraId="6BAB2BD6" w14:textId="3271D621" w:rsidR="003171B9" w:rsidRDefault="003171B9" w:rsidP="00E276E1">
      <w:pPr>
        <w:rPr>
          <w:b/>
        </w:rPr>
      </w:pPr>
    </w:p>
    <w:p w14:paraId="4ECC4EF1" w14:textId="6C760653" w:rsidR="00EC7194" w:rsidRDefault="003B0945">
      <w:pPr>
        <w:pStyle w:val="ListParagraph"/>
        <w:numPr>
          <w:ilvl w:val="1"/>
          <w:numId w:val="64"/>
        </w:numPr>
        <w:ind w:left="709" w:hanging="709"/>
        <w:jc w:val="both"/>
        <w:rPr>
          <w:bCs/>
        </w:rPr>
      </w:pPr>
      <w:r w:rsidRPr="009102CE">
        <w:rPr>
          <w:b/>
          <w:bCs/>
        </w:rPr>
        <w:t>Families with No Recourse to Public Funds £74k overspend</w:t>
      </w:r>
      <w:r w:rsidRPr="00F65565">
        <w:rPr>
          <w:bCs/>
        </w:rPr>
        <w:t xml:space="preserve"> - </w:t>
      </w:r>
      <w:r w:rsidR="0021139A" w:rsidRPr="00F65565">
        <w:rPr>
          <w:bCs/>
        </w:rPr>
        <w:t xml:space="preserve">These are families being supported by the Council because they have no recourse to public funds (NRPF). The welfare reforms, along with stricter enforcement of Asylum Legislation are the main causal factors for this demand, which is unpredictable in terms of volume and costs. The exit routes for ceasing funding are dependent on variable factors, many of which cannot be controlled by the Council. 1.5 FTE bespoke workers have been recruited to focus specifically on these families to help reduce costs and mitigate the financial pressures on this budget. These workers are currently supporting </w:t>
      </w:r>
      <w:r w:rsidR="00144C1D" w:rsidRPr="00F65565">
        <w:rPr>
          <w:bCs/>
        </w:rPr>
        <w:t>22</w:t>
      </w:r>
      <w:r w:rsidR="0021139A" w:rsidRPr="00F65565">
        <w:rPr>
          <w:bCs/>
        </w:rPr>
        <w:t xml:space="preserve"> cases, </w:t>
      </w:r>
      <w:r w:rsidR="00144C1D" w:rsidRPr="00F65565">
        <w:rPr>
          <w:bCs/>
        </w:rPr>
        <w:t>5</w:t>
      </w:r>
      <w:r w:rsidR="0021139A" w:rsidRPr="00F65565">
        <w:rPr>
          <w:bCs/>
        </w:rPr>
        <w:t xml:space="preserve"> cases have been successfully closed </w:t>
      </w:r>
      <w:r w:rsidR="00144C1D" w:rsidRPr="00F65565">
        <w:rPr>
          <w:bCs/>
        </w:rPr>
        <w:t>since April 2017.</w:t>
      </w:r>
    </w:p>
    <w:p w14:paraId="4264097A" w14:textId="06DD9C43" w:rsidR="00DE4BC5" w:rsidRPr="00F65565" w:rsidRDefault="00DE4BC5" w:rsidP="00EC7194">
      <w:pPr>
        <w:pStyle w:val="ListParagraph"/>
        <w:ind w:left="672"/>
        <w:rPr>
          <w:bCs/>
        </w:rPr>
      </w:pPr>
    </w:p>
    <w:p w14:paraId="0050BE33" w14:textId="77270F96" w:rsidR="0021139A" w:rsidRPr="00022EDA" w:rsidRDefault="00396067" w:rsidP="00613368">
      <w:pPr>
        <w:pStyle w:val="ListParagraph"/>
        <w:numPr>
          <w:ilvl w:val="1"/>
          <w:numId w:val="80"/>
        </w:numPr>
        <w:ind w:left="709" w:hanging="709"/>
        <w:jc w:val="both"/>
      </w:pPr>
      <w:r w:rsidRPr="00396067">
        <w:rPr>
          <w:rFonts w:cs="Arial"/>
          <w:szCs w:val="24"/>
        </w:rPr>
        <w:t>A funding bid is being constructed to purchase the premium service from the Home Office. This will mean the co-location o</w:t>
      </w:r>
      <w:r w:rsidR="00015265">
        <w:rPr>
          <w:rFonts w:cs="Arial"/>
          <w:szCs w:val="24"/>
        </w:rPr>
        <w:t xml:space="preserve">f an Immigration &amp; Enforcement </w:t>
      </w:r>
      <w:r w:rsidRPr="00396067">
        <w:rPr>
          <w:rFonts w:cs="Arial"/>
          <w:szCs w:val="24"/>
        </w:rPr>
        <w:t>Officer who</w:t>
      </w:r>
      <w:r w:rsidR="00B05444">
        <w:rPr>
          <w:rFonts w:cs="Arial"/>
          <w:szCs w:val="24"/>
        </w:rPr>
        <w:t xml:space="preserve"> </w:t>
      </w:r>
      <w:proofErr w:type="gramStart"/>
      <w:r w:rsidRPr="00396067">
        <w:rPr>
          <w:rFonts w:cs="Arial"/>
          <w:szCs w:val="24"/>
        </w:rPr>
        <w:t>will</w:t>
      </w:r>
      <w:proofErr w:type="gramEnd"/>
      <w:r w:rsidRPr="00396067">
        <w:rPr>
          <w:rFonts w:cs="Arial"/>
          <w:szCs w:val="24"/>
        </w:rPr>
        <w:t xml:space="preserve"> fast-track all asylum related processes and background checks. This will reduce the amount of time that families are being funded through no recourse to public funds</w:t>
      </w:r>
      <w:r>
        <w:rPr>
          <w:rFonts w:cs="Arial"/>
          <w:szCs w:val="24"/>
        </w:rPr>
        <w:t>.</w:t>
      </w:r>
    </w:p>
    <w:p w14:paraId="3A293C5A" w14:textId="77777777" w:rsidR="00CE48DC" w:rsidRPr="007272A3" w:rsidRDefault="00CE48DC" w:rsidP="00CB1B58">
      <w:pPr>
        <w:pStyle w:val="ListParagraph"/>
        <w:ind w:left="709"/>
        <w:jc w:val="both"/>
      </w:pPr>
    </w:p>
    <w:p w14:paraId="570CAB1F" w14:textId="379674DC" w:rsidR="008C2861" w:rsidRPr="008C2861" w:rsidRDefault="008C2861" w:rsidP="00CB1B58">
      <w:pPr>
        <w:pStyle w:val="ListParagraph"/>
        <w:numPr>
          <w:ilvl w:val="1"/>
          <w:numId w:val="80"/>
        </w:numPr>
        <w:ind w:left="709" w:hanging="709"/>
        <w:jc w:val="both"/>
      </w:pPr>
      <w:r w:rsidRPr="00CB1B58">
        <w:rPr>
          <w:b/>
        </w:rPr>
        <w:t>Early Support Service under spend £130k</w:t>
      </w:r>
      <w:r w:rsidR="00FC1E0A">
        <w:t xml:space="preserve"> -</w:t>
      </w:r>
      <w:r w:rsidRPr="008C2861">
        <w:t xml:space="preserve"> As the new structure continues to bed in a number of vacant posts has resulted in </w:t>
      </w:r>
      <w:proofErr w:type="gramStart"/>
      <w:r w:rsidRPr="008C2861">
        <w:t>an underspend</w:t>
      </w:r>
      <w:proofErr w:type="gramEnd"/>
      <w:r w:rsidRPr="008C2861">
        <w:t xml:space="preserve"> of £58k. This is a one off underspend in 2017-18. In addition the service has received one off income of £30k for the rental of the Pinner Centre and the contract with the Citizen’s Advice Bureau has now been incorporated into the larger corporately held contract  resulting in a budget saving of £42k</w:t>
      </w:r>
    </w:p>
    <w:p w14:paraId="7D5B65ED" w14:textId="77777777" w:rsidR="008C2861" w:rsidRDefault="008C2861" w:rsidP="00CB1B58">
      <w:pPr>
        <w:pStyle w:val="ListParagraph"/>
        <w:ind w:left="547"/>
        <w:jc w:val="both"/>
      </w:pPr>
    </w:p>
    <w:p w14:paraId="12D029FB" w14:textId="66CDE684" w:rsidR="007C4E79" w:rsidRDefault="007C4E79" w:rsidP="00CB1B58">
      <w:pPr>
        <w:pStyle w:val="ListParagraph"/>
        <w:numPr>
          <w:ilvl w:val="1"/>
          <w:numId w:val="80"/>
        </w:numPr>
        <w:spacing w:after="120"/>
        <w:ind w:left="709" w:hanging="709"/>
        <w:jc w:val="both"/>
        <w:rPr>
          <w:bCs/>
        </w:rPr>
      </w:pPr>
      <w:r w:rsidRPr="007C4E79">
        <w:rPr>
          <w:b/>
          <w:bCs/>
        </w:rPr>
        <w:t xml:space="preserve">Departmental Legal Costs £103k </w:t>
      </w:r>
      <w:proofErr w:type="gramStart"/>
      <w:r w:rsidRPr="007C4E79">
        <w:rPr>
          <w:b/>
          <w:bCs/>
        </w:rPr>
        <w:t>overspend</w:t>
      </w:r>
      <w:proofErr w:type="gramEnd"/>
      <w:r w:rsidRPr="007C4E79">
        <w:rPr>
          <w:bCs/>
        </w:rPr>
        <w:t xml:space="preserve"> - There is an estimated overspend on disbursements related to barristers, experts</w:t>
      </w:r>
      <w:r w:rsidR="007C3EAF">
        <w:rPr>
          <w:bCs/>
        </w:rPr>
        <w:t>, court fees</w:t>
      </w:r>
      <w:r w:rsidRPr="007C4E79">
        <w:rPr>
          <w:bCs/>
        </w:rPr>
        <w:t xml:space="preserve"> and other expenses in relation to care proceedings. </w:t>
      </w:r>
      <w:r w:rsidR="007C3EAF">
        <w:rPr>
          <w:bCs/>
        </w:rPr>
        <w:t>As the number of children in proceedings increase so does the court and other fees.</w:t>
      </w:r>
    </w:p>
    <w:p w14:paraId="23344DEB" w14:textId="0F0451E4" w:rsidR="007C4E79" w:rsidRDefault="007C4E79" w:rsidP="00B047D0">
      <w:pPr>
        <w:pStyle w:val="ListParagraph"/>
        <w:numPr>
          <w:ilvl w:val="1"/>
          <w:numId w:val="80"/>
        </w:numPr>
        <w:spacing w:after="120"/>
        <w:ind w:left="709" w:hanging="709"/>
        <w:jc w:val="both"/>
        <w:rPr>
          <w:bCs/>
        </w:rPr>
      </w:pPr>
      <w:r w:rsidRPr="007C4E79">
        <w:rPr>
          <w:b/>
          <w:bCs/>
        </w:rPr>
        <w:t>Signers and Interpreters Fees £90k overspend</w:t>
      </w:r>
      <w:r w:rsidRPr="007C4E79">
        <w:rPr>
          <w:bCs/>
        </w:rPr>
        <w:t xml:space="preserve"> - The provision of an Interpretation and Translation service is a demonstrable component of the Council’s commitment to equality of opportunity, enabling access to information and services</w:t>
      </w:r>
      <w:r>
        <w:rPr>
          <w:bCs/>
        </w:rPr>
        <w:t>.</w:t>
      </w:r>
    </w:p>
    <w:p w14:paraId="1DB686A5" w14:textId="7FD24C99" w:rsidR="007C4E79" w:rsidRDefault="007C4E79" w:rsidP="00613368">
      <w:pPr>
        <w:pStyle w:val="ListParagraph"/>
        <w:numPr>
          <w:ilvl w:val="1"/>
          <w:numId w:val="80"/>
        </w:numPr>
        <w:spacing w:after="120"/>
        <w:ind w:left="709" w:hanging="709"/>
        <w:jc w:val="both"/>
        <w:rPr>
          <w:bCs/>
        </w:rPr>
      </w:pPr>
      <w:r w:rsidRPr="007C4E79">
        <w:rPr>
          <w:b/>
          <w:bCs/>
        </w:rPr>
        <w:t>Capital Team £17</w:t>
      </w:r>
      <w:r w:rsidR="00FC1E0A">
        <w:rPr>
          <w:b/>
          <w:bCs/>
        </w:rPr>
        <w:t>6</w:t>
      </w:r>
      <w:r w:rsidRPr="007C4E79">
        <w:rPr>
          <w:b/>
          <w:bCs/>
        </w:rPr>
        <w:t>k overspend</w:t>
      </w:r>
      <w:r w:rsidRPr="007C4E79">
        <w:rPr>
          <w:bCs/>
        </w:rPr>
        <w:t xml:space="preserve"> - There are anticipated costs for external legal services and external commercial and technical advice services in relation to continued efforts to close the accounts for School Expansion Programme phase 2 (SEP2</w:t>
      </w:r>
      <w:r>
        <w:rPr>
          <w:bCs/>
        </w:rPr>
        <w:t>).</w:t>
      </w:r>
    </w:p>
    <w:p w14:paraId="008632F1" w14:textId="59F978BD" w:rsidR="00D85184" w:rsidRDefault="00D85184" w:rsidP="00613368">
      <w:pPr>
        <w:pStyle w:val="ListParagraph"/>
        <w:numPr>
          <w:ilvl w:val="1"/>
          <w:numId w:val="79"/>
        </w:numPr>
        <w:spacing w:after="120"/>
        <w:ind w:left="709" w:hanging="709"/>
        <w:jc w:val="both"/>
        <w:rPr>
          <w:bCs/>
        </w:rPr>
      </w:pPr>
      <w:r w:rsidRPr="00385FB2">
        <w:rPr>
          <w:b/>
          <w:bCs/>
        </w:rPr>
        <w:t>Commissioning Team £</w:t>
      </w:r>
      <w:r w:rsidR="00FC1E0A">
        <w:rPr>
          <w:b/>
          <w:bCs/>
        </w:rPr>
        <w:t>30</w:t>
      </w:r>
      <w:r w:rsidRPr="00385FB2">
        <w:rPr>
          <w:b/>
          <w:bCs/>
        </w:rPr>
        <w:t>k overspend</w:t>
      </w:r>
      <w:r>
        <w:rPr>
          <w:bCs/>
        </w:rPr>
        <w:t xml:space="preserve">  - </w:t>
      </w:r>
      <w:r w:rsidRPr="003B0945">
        <w:rPr>
          <w:bCs/>
        </w:rPr>
        <w:t>This pressure results from redundancy and residual staffing costs of 3 members of staff who are expected to leave in September as part of the MTFS saving in this area which has been delayed in its implementation</w:t>
      </w:r>
      <w:r>
        <w:rPr>
          <w:bCs/>
        </w:rPr>
        <w:t>.</w:t>
      </w:r>
    </w:p>
    <w:p w14:paraId="3A52DD5D" w14:textId="62223822" w:rsidR="00FC1E0A" w:rsidRPr="00CB1B58" w:rsidRDefault="00FC1E0A" w:rsidP="00CD735C">
      <w:pPr>
        <w:pStyle w:val="ListParagraph"/>
        <w:numPr>
          <w:ilvl w:val="1"/>
          <w:numId w:val="79"/>
        </w:numPr>
        <w:ind w:left="709" w:hanging="709"/>
        <w:rPr>
          <w:b/>
          <w:bCs/>
        </w:rPr>
      </w:pPr>
      <w:r w:rsidRPr="00CB1B58">
        <w:rPr>
          <w:b/>
          <w:bCs/>
        </w:rPr>
        <w:t>Harrow School Improvement Partnership £179k overspend</w:t>
      </w:r>
      <w:r w:rsidRPr="00FC1E0A">
        <w:t xml:space="preserve"> </w:t>
      </w:r>
      <w:r w:rsidRPr="00CB1B58">
        <w:rPr>
          <w:bCs/>
        </w:rPr>
        <w:t>There is a shortfall of income in the Harrow School Improvement Partnership which is required to recover the full cost of running the service</w:t>
      </w:r>
      <w:r w:rsidR="00795422">
        <w:rPr>
          <w:bCs/>
        </w:rPr>
        <w:t>.</w:t>
      </w:r>
    </w:p>
    <w:p w14:paraId="7005BC29" w14:textId="77777777" w:rsidR="00CE48DC" w:rsidRPr="00CB1B58" w:rsidRDefault="00CE48DC" w:rsidP="00CB1B58">
      <w:pPr>
        <w:pStyle w:val="ListParagraph"/>
        <w:ind w:left="709"/>
        <w:rPr>
          <w:b/>
          <w:bCs/>
        </w:rPr>
      </w:pPr>
    </w:p>
    <w:p w14:paraId="2A38DA7A" w14:textId="50896307" w:rsidR="00795422" w:rsidRDefault="00CE48DC" w:rsidP="00CD735C">
      <w:pPr>
        <w:pStyle w:val="ListParagraph"/>
        <w:numPr>
          <w:ilvl w:val="1"/>
          <w:numId w:val="89"/>
        </w:numPr>
        <w:ind w:left="709" w:hanging="709"/>
        <w:rPr>
          <w:b/>
          <w:bCs/>
        </w:rPr>
      </w:pPr>
      <w:r w:rsidRPr="00CE48DC">
        <w:rPr>
          <w:b/>
          <w:bCs/>
        </w:rPr>
        <w:t>Other small overspends £32k</w:t>
      </w:r>
      <w:r>
        <w:rPr>
          <w:b/>
          <w:bCs/>
        </w:rPr>
        <w:t>.</w:t>
      </w:r>
    </w:p>
    <w:p w14:paraId="6BA9A659" w14:textId="77777777" w:rsidR="005C3964" w:rsidRDefault="005C3964" w:rsidP="005163C5">
      <w:pPr>
        <w:rPr>
          <w:b/>
          <w:bCs/>
        </w:rPr>
      </w:pPr>
    </w:p>
    <w:p w14:paraId="36E37EEF" w14:textId="7D2FA3BA" w:rsidR="00CE48DC" w:rsidRPr="005163C5" w:rsidRDefault="00CE48DC" w:rsidP="00CD735C">
      <w:pPr>
        <w:pStyle w:val="ListParagraph"/>
        <w:numPr>
          <w:ilvl w:val="0"/>
          <w:numId w:val="122"/>
        </w:numPr>
        <w:ind w:left="709" w:hanging="709"/>
        <w:rPr>
          <w:bCs/>
        </w:rPr>
      </w:pPr>
      <w:r w:rsidRPr="005163C5">
        <w:rPr>
          <w:bCs/>
        </w:rPr>
        <w:t>These pressures are partially offset by one off man</w:t>
      </w:r>
      <w:r w:rsidR="00AE4DD7" w:rsidRPr="005163C5">
        <w:rPr>
          <w:bCs/>
        </w:rPr>
        <w:t xml:space="preserve">agement actions totalling </w:t>
      </w:r>
      <w:r w:rsidR="005363E4" w:rsidRPr="005163C5">
        <w:rPr>
          <w:bCs/>
        </w:rPr>
        <w:t>(</w:t>
      </w:r>
      <w:r w:rsidR="00AE4DD7" w:rsidRPr="005163C5">
        <w:rPr>
          <w:bCs/>
        </w:rPr>
        <w:t>£0.</w:t>
      </w:r>
      <w:r w:rsidR="0091766E" w:rsidRPr="005163C5">
        <w:rPr>
          <w:bCs/>
        </w:rPr>
        <w:t>529m</w:t>
      </w:r>
      <w:r w:rsidR="005363E4" w:rsidRPr="005163C5">
        <w:rPr>
          <w:bCs/>
        </w:rPr>
        <w:t>)</w:t>
      </w:r>
      <w:r w:rsidR="000370A6" w:rsidRPr="005163C5">
        <w:rPr>
          <w:b/>
          <w:bCs/>
        </w:rPr>
        <w:t xml:space="preserve"> </w:t>
      </w:r>
      <w:r w:rsidR="000370A6" w:rsidRPr="005163C5">
        <w:rPr>
          <w:bCs/>
        </w:rPr>
        <w:t xml:space="preserve">and </w:t>
      </w:r>
      <w:r w:rsidR="0091766E" w:rsidRPr="005163C5">
        <w:rPr>
          <w:bCs/>
        </w:rPr>
        <w:t xml:space="preserve">one off draw </w:t>
      </w:r>
      <w:r w:rsidR="000370A6" w:rsidRPr="005163C5">
        <w:rPr>
          <w:bCs/>
        </w:rPr>
        <w:t xml:space="preserve">down from reserve </w:t>
      </w:r>
      <w:r w:rsidR="0091766E" w:rsidRPr="005163C5">
        <w:rPr>
          <w:bCs/>
        </w:rPr>
        <w:t>for redundancy of</w:t>
      </w:r>
      <w:r w:rsidR="000370A6" w:rsidRPr="005163C5">
        <w:rPr>
          <w:bCs/>
        </w:rPr>
        <w:t xml:space="preserve"> </w:t>
      </w:r>
      <w:r w:rsidR="005363E4" w:rsidRPr="005163C5">
        <w:rPr>
          <w:bCs/>
        </w:rPr>
        <w:t>(£</w:t>
      </w:r>
      <w:r w:rsidR="0091766E" w:rsidRPr="005163C5">
        <w:rPr>
          <w:bCs/>
        </w:rPr>
        <w:t>0.</w:t>
      </w:r>
      <w:r w:rsidR="000370A6" w:rsidRPr="005163C5">
        <w:rPr>
          <w:bCs/>
        </w:rPr>
        <w:t>353</w:t>
      </w:r>
      <w:r w:rsidR="0091766E" w:rsidRPr="005163C5">
        <w:rPr>
          <w:bCs/>
        </w:rPr>
        <w:t>m</w:t>
      </w:r>
      <w:r w:rsidR="005363E4" w:rsidRPr="005163C5">
        <w:rPr>
          <w:bCs/>
        </w:rPr>
        <w:t>)</w:t>
      </w:r>
      <w:r w:rsidR="0091766E" w:rsidRPr="005163C5">
        <w:rPr>
          <w:bCs/>
        </w:rPr>
        <w:t>.</w:t>
      </w:r>
    </w:p>
    <w:p w14:paraId="7BE1191B" w14:textId="77777777" w:rsidR="00D63B83" w:rsidRDefault="00D63B83" w:rsidP="00CB1B58">
      <w:pPr>
        <w:pStyle w:val="ListParagraph"/>
        <w:spacing w:after="120"/>
        <w:ind w:left="709"/>
        <w:jc w:val="both"/>
        <w:rPr>
          <w:bCs/>
        </w:rPr>
      </w:pPr>
    </w:p>
    <w:p w14:paraId="5B3291CB" w14:textId="77777777" w:rsidR="00CF3C93" w:rsidRPr="00022EDA" w:rsidRDefault="00CF3C93" w:rsidP="00CB1B58">
      <w:pPr>
        <w:pStyle w:val="ListParagraph"/>
        <w:spacing w:after="120"/>
        <w:ind w:left="709"/>
        <w:jc w:val="both"/>
        <w:rPr>
          <w:bCs/>
        </w:rPr>
      </w:pPr>
    </w:p>
    <w:p w14:paraId="572D5879" w14:textId="70B464A4" w:rsidR="00F37451" w:rsidRPr="00C97D07" w:rsidRDefault="00F37451" w:rsidP="00E8374A">
      <w:pPr>
        <w:pStyle w:val="ListParagraph"/>
        <w:spacing w:after="120"/>
        <w:ind w:left="689"/>
        <w:jc w:val="both"/>
        <w:rPr>
          <w:b/>
          <w:bCs/>
          <w:u w:val="single"/>
        </w:rPr>
      </w:pPr>
      <w:r w:rsidRPr="00C97D07">
        <w:rPr>
          <w:b/>
          <w:bCs/>
          <w:u w:val="single"/>
        </w:rPr>
        <w:t>REGENERATION</w:t>
      </w:r>
      <w:r w:rsidR="00C97D07">
        <w:rPr>
          <w:b/>
          <w:bCs/>
          <w:u w:val="single"/>
        </w:rPr>
        <w:t>, ENTERPRISE AND PLANNING</w:t>
      </w:r>
    </w:p>
    <w:p w14:paraId="68BF8126" w14:textId="77777777" w:rsidR="00D85184" w:rsidRPr="00F37451" w:rsidRDefault="00D85184" w:rsidP="00F37451">
      <w:pPr>
        <w:pStyle w:val="ListParagraph"/>
        <w:ind w:left="689"/>
        <w:rPr>
          <w:bCs/>
        </w:rPr>
      </w:pPr>
    </w:p>
    <w:p w14:paraId="43CFF51C" w14:textId="118E2617" w:rsidR="003532CD" w:rsidRDefault="00F37451" w:rsidP="00CD735C">
      <w:pPr>
        <w:pStyle w:val="ListParagraph"/>
        <w:numPr>
          <w:ilvl w:val="1"/>
          <w:numId w:val="38"/>
        </w:numPr>
        <w:spacing w:after="120"/>
        <w:ind w:left="709" w:hanging="689"/>
        <w:jc w:val="both"/>
        <w:rPr>
          <w:bCs/>
        </w:rPr>
      </w:pPr>
      <w:r w:rsidRPr="00F37451">
        <w:rPr>
          <w:bCs/>
        </w:rPr>
        <w:t xml:space="preserve">At </w:t>
      </w:r>
      <w:r w:rsidR="00D20D5B">
        <w:rPr>
          <w:bCs/>
        </w:rPr>
        <w:t>Quarter</w:t>
      </w:r>
      <w:r w:rsidRPr="00F37451">
        <w:rPr>
          <w:bCs/>
        </w:rPr>
        <w:t xml:space="preserve"> </w:t>
      </w:r>
      <w:r w:rsidR="00F90729">
        <w:rPr>
          <w:bCs/>
        </w:rPr>
        <w:t>2</w:t>
      </w:r>
      <w:r w:rsidRPr="00F37451">
        <w:rPr>
          <w:bCs/>
        </w:rPr>
        <w:t>, Regeneration, Enterprise &amp; Planning are reporting a balanced budget</w:t>
      </w:r>
      <w:r w:rsidR="00666AFB">
        <w:rPr>
          <w:bCs/>
        </w:rPr>
        <w:t>.</w:t>
      </w:r>
    </w:p>
    <w:p w14:paraId="7D073EF8" w14:textId="04114753" w:rsidR="00D85184" w:rsidRDefault="00F37451" w:rsidP="00613368">
      <w:pPr>
        <w:pStyle w:val="ListParagraph"/>
        <w:numPr>
          <w:ilvl w:val="1"/>
          <w:numId w:val="123"/>
        </w:numPr>
        <w:ind w:hanging="689"/>
        <w:jc w:val="both"/>
        <w:rPr>
          <w:bCs/>
        </w:rPr>
      </w:pPr>
      <w:r w:rsidRPr="006B70AF">
        <w:rPr>
          <w:bCs/>
        </w:rPr>
        <w:t>Regeneration activity, estimated at £</w:t>
      </w:r>
      <w:r w:rsidR="00F90729" w:rsidRPr="006B70AF">
        <w:rPr>
          <w:bCs/>
        </w:rPr>
        <w:t>818k</w:t>
      </w:r>
      <w:r w:rsidRPr="006B70AF">
        <w:rPr>
          <w:bCs/>
        </w:rPr>
        <w:t>,</w:t>
      </w:r>
      <w:r w:rsidR="00F90729" w:rsidRPr="006B70AF">
        <w:rPr>
          <w:bCs/>
        </w:rPr>
        <w:t xml:space="preserve"> this </w:t>
      </w:r>
      <w:r w:rsidRPr="006B70AF">
        <w:rPr>
          <w:bCs/>
        </w:rPr>
        <w:t>will be funded from the capacity</w:t>
      </w:r>
      <w:r w:rsidR="008D6DA6">
        <w:rPr>
          <w:bCs/>
        </w:rPr>
        <w:t xml:space="preserve"> already set aside</w:t>
      </w:r>
      <w:r w:rsidRPr="006B70AF">
        <w:rPr>
          <w:bCs/>
        </w:rPr>
        <w:t>.</w:t>
      </w:r>
      <w:r w:rsidR="00F90729" w:rsidRPr="006B70AF">
        <w:rPr>
          <w:bCs/>
        </w:rPr>
        <w:t xml:space="preserve"> </w:t>
      </w:r>
    </w:p>
    <w:p w14:paraId="18B8B33E" w14:textId="77777777" w:rsidR="005663CF" w:rsidRPr="006B70AF" w:rsidRDefault="005663CF" w:rsidP="005663CF">
      <w:pPr>
        <w:pStyle w:val="ListParagraph"/>
        <w:ind w:left="709"/>
        <w:jc w:val="both"/>
        <w:rPr>
          <w:bCs/>
        </w:rPr>
      </w:pPr>
    </w:p>
    <w:p w14:paraId="7569CCF1" w14:textId="76F948DA" w:rsidR="00F37451" w:rsidRDefault="008755A3" w:rsidP="00613368">
      <w:pPr>
        <w:pStyle w:val="ListParagraph"/>
        <w:numPr>
          <w:ilvl w:val="1"/>
          <w:numId w:val="123"/>
        </w:numPr>
        <w:spacing w:after="120"/>
        <w:ind w:left="709" w:hanging="709"/>
        <w:jc w:val="both"/>
        <w:rPr>
          <w:bCs/>
        </w:rPr>
      </w:pPr>
      <w:r w:rsidRPr="008755A3">
        <w:rPr>
          <w:bCs/>
        </w:rPr>
        <w:t>£</w:t>
      </w:r>
      <w:r w:rsidR="005363E4">
        <w:rPr>
          <w:bCs/>
        </w:rPr>
        <w:t>2.363</w:t>
      </w:r>
      <w:r w:rsidRPr="008755A3">
        <w:rPr>
          <w:bCs/>
        </w:rPr>
        <w:t>m [net] of C</w:t>
      </w:r>
      <w:r w:rsidR="00E33042">
        <w:rPr>
          <w:bCs/>
        </w:rPr>
        <w:t xml:space="preserve">ommunity </w:t>
      </w:r>
      <w:r w:rsidR="00E33042" w:rsidRPr="008755A3">
        <w:rPr>
          <w:bCs/>
        </w:rPr>
        <w:t>I</w:t>
      </w:r>
      <w:r w:rsidR="00E33042">
        <w:rPr>
          <w:bCs/>
        </w:rPr>
        <w:t xml:space="preserve">nfrastructure </w:t>
      </w:r>
      <w:r w:rsidRPr="008755A3">
        <w:rPr>
          <w:bCs/>
        </w:rPr>
        <w:t>L</w:t>
      </w:r>
      <w:r w:rsidR="00E33042">
        <w:rPr>
          <w:bCs/>
        </w:rPr>
        <w:t>evy (</w:t>
      </w:r>
      <w:r w:rsidRPr="008755A3">
        <w:rPr>
          <w:bCs/>
        </w:rPr>
        <w:t>S106</w:t>
      </w:r>
      <w:r w:rsidR="00E33042">
        <w:rPr>
          <w:bCs/>
        </w:rPr>
        <w:t>)</w:t>
      </w:r>
      <w:r w:rsidRPr="008755A3">
        <w:rPr>
          <w:bCs/>
        </w:rPr>
        <w:t xml:space="preserve"> monie</w:t>
      </w:r>
      <w:r w:rsidR="00666AFB">
        <w:rPr>
          <w:bCs/>
        </w:rPr>
        <w:t xml:space="preserve">s has been received at Quarter </w:t>
      </w:r>
      <w:r w:rsidR="005363E4">
        <w:rPr>
          <w:bCs/>
        </w:rPr>
        <w:t>2</w:t>
      </w:r>
      <w:r w:rsidRPr="008755A3">
        <w:rPr>
          <w:bCs/>
        </w:rPr>
        <w:t>.  The net unspent income will be transferred to</w:t>
      </w:r>
      <w:r w:rsidR="00A659B7">
        <w:rPr>
          <w:bCs/>
        </w:rPr>
        <w:t xml:space="preserve"> CIL</w:t>
      </w:r>
      <w:r w:rsidRPr="008755A3">
        <w:rPr>
          <w:bCs/>
        </w:rPr>
        <w:t xml:space="preserve"> reserves at year end</w:t>
      </w:r>
      <w:r>
        <w:rPr>
          <w:bCs/>
        </w:rPr>
        <w:t>.</w:t>
      </w:r>
    </w:p>
    <w:p w14:paraId="6071F464" w14:textId="77777777" w:rsidR="00A23F65" w:rsidRPr="00A7359D" w:rsidRDefault="00A23F65">
      <w:pPr>
        <w:pStyle w:val="ListParagraph"/>
        <w:rPr>
          <w:bCs/>
        </w:rPr>
      </w:pPr>
    </w:p>
    <w:p w14:paraId="54738575" w14:textId="77777777" w:rsidR="00A23F65" w:rsidRPr="00404B4F" w:rsidRDefault="00A23F65" w:rsidP="00404B4F">
      <w:pPr>
        <w:ind w:firstLine="689"/>
        <w:rPr>
          <w:b/>
          <w:bCs/>
          <w:i/>
        </w:rPr>
      </w:pPr>
      <w:r w:rsidRPr="00404B4F">
        <w:rPr>
          <w:b/>
          <w:bCs/>
          <w:i/>
        </w:rPr>
        <w:t>SPENDING CONTROL FREEZE</w:t>
      </w:r>
    </w:p>
    <w:p w14:paraId="64598E14" w14:textId="77777777" w:rsidR="00A23F65" w:rsidRPr="00A7359D" w:rsidRDefault="00A23F65">
      <w:pPr>
        <w:pStyle w:val="ListParagraph"/>
        <w:rPr>
          <w:bCs/>
        </w:rPr>
      </w:pPr>
    </w:p>
    <w:p w14:paraId="3E100BD6" w14:textId="3516C53F" w:rsidR="00CF3C93" w:rsidRDefault="00A23F65" w:rsidP="00613368">
      <w:pPr>
        <w:pStyle w:val="ListParagraph"/>
        <w:numPr>
          <w:ilvl w:val="1"/>
          <w:numId w:val="61"/>
        </w:numPr>
        <w:spacing w:after="120"/>
        <w:ind w:hanging="689"/>
        <w:jc w:val="both"/>
        <w:rPr>
          <w:bCs/>
        </w:rPr>
      </w:pPr>
      <w:r w:rsidRPr="00146A7B">
        <w:rPr>
          <w:bCs/>
        </w:rPr>
        <w:t>Following the review of Building Control fees earlier this year, additional income may be achievable subject to the number of applications being at a similar level as pre-</w:t>
      </w:r>
      <w:proofErr w:type="spellStart"/>
      <w:r w:rsidRPr="00146A7B">
        <w:rPr>
          <w:bCs/>
        </w:rPr>
        <w:t>Brexit</w:t>
      </w:r>
      <w:proofErr w:type="spellEnd"/>
      <w:r w:rsidRPr="00146A7B">
        <w:rPr>
          <w:bCs/>
        </w:rPr>
        <w:t xml:space="preserve"> time. The income can be volatile and will require regular monitoring as part of monthly forecast. At this stage, it is anticipated that an additional income of £25k may be achieved in </w:t>
      </w:r>
      <w:r w:rsidR="00F92234" w:rsidRPr="00146A7B">
        <w:rPr>
          <w:bCs/>
        </w:rPr>
        <w:t>20</w:t>
      </w:r>
      <w:r w:rsidRPr="00146A7B">
        <w:rPr>
          <w:bCs/>
        </w:rPr>
        <w:t xml:space="preserve">17/18. In addition, a recharge of planning officers’ time against CIL administrative fee is considered possible but this will be subject to the actual time legitimately spent on CIL related work. It is estimated that a one-off recharge of £50k can be achieved from this in </w:t>
      </w:r>
      <w:r w:rsidR="00E33042" w:rsidRPr="00146A7B">
        <w:rPr>
          <w:bCs/>
        </w:rPr>
        <w:t>20</w:t>
      </w:r>
      <w:r w:rsidRPr="00146A7B">
        <w:rPr>
          <w:bCs/>
        </w:rPr>
        <w:t>17/18.</w:t>
      </w:r>
    </w:p>
    <w:p w14:paraId="4031586B" w14:textId="77777777" w:rsidR="00961657" w:rsidRDefault="00961657" w:rsidP="00146A7B">
      <w:pPr>
        <w:spacing w:after="120"/>
        <w:jc w:val="both"/>
        <w:rPr>
          <w:b/>
          <w:bCs/>
          <w:u w:val="single"/>
        </w:rPr>
      </w:pPr>
    </w:p>
    <w:p w14:paraId="598FBFDD" w14:textId="77777777" w:rsidR="00CF3C93" w:rsidRDefault="00CF3C93" w:rsidP="00146A7B">
      <w:pPr>
        <w:spacing w:after="120"/>
        <w:jc w:val="both"/>
        <w:rPr>
          <w:b/>
          <w:bCs/>
          <w:u w:val="single"/>
        </w:rPr>
      </w:pPr>
    </w:p>
    <w:p w14:paraId="7AC05B32" w14:textId="77777777" w:rsidR="00CF3C93" w:rsidRDefault="00CF3C93" w:rsidP="00146A7B">
      <w:pPr>
        <w:spacing w:after="120"/>
        <w:jc w:val="both"/>
        <w:rPr>
          <w:b/>
          <w:bCs/>
          <w:u w:val="single"/>
        </w:rPr>
      </w:pPr>
    </w:p>
    <w:p w14:paraId="7812DC28" w14:textId="77777777" w:rsidR="008D6DA6" w:rsidRDefault="008D6DA6" w:rsidP="00146A7B">
      <w:pPr>
        <w:spacing w:after="120"/>
        <w:jc w:val="both"/>
        <w:rPr>
          <w:b/>
          <w:bCs/>
          <w:u w:val="single"/>
        </w:rPr>
      </w:pPr>
    </w:p>
    <w:p w14:paraId="0694E68B" w14:textId="77777777" w:rsidR="008D6DA6" w:rsidRPr="00146A7B" w:rsidRDefault="008D6DA6" w:rsidP="00146A7B">
      <w:pPr>
        <w:spacing w:after="120"/>
        <w:jc w:val="both"/>
        <w:rPr>
          <w:b/>
          <w:bCs/>
          <w:u w:val="single"/>
        </w:rPr>
      </w:pPr>
    </w:p>
    <w:p w14:paraId="4CFB5BC2" w14:textId="580AAB45" w:rsidR="00A87D50" w:rsidRDefault="00A87D50" w:rsidP="007A5EAC">
      <w:pPr>
        <w:spacing w:after="120"/>
        <w:ind w:left="709"/>
        <w:jc w:val="both"/>
        <w:rPr>
          <w:b/>
          <w:bCs/>
          <w:u w:val="single"/>
        </w:rPr>
      </w:pPr>
      <w:r w:rsidRPr="00C97D07">
        <w:rPr>
          <w:b/>
          <w:bCs/>
          <w:u w:val="single"/>
        </w:rPr>
        <w:t>HOUSING REVENUE ACCOUNT</w:t>
      </w:r>
    </w:p>
    <w:p w14:paraId="1890B726" w14:textId="7D965BD6" w:rsidR="00022EDA" w:rsidRPr="00CB1B58" w:rsidRDefault="0041380A" w:rsidP="00613368">
      <w:pPr>
        <w:pStyle w:val="ListParagraph"/>
        <w:numPr>
          <w:ilvl w:val="1"/>
          <w:numId w:val="55"/>
        </w:numPr>
        <w:spacing w:after="120"/>
        <w:ind w:hanging="749"/>
        <w:jc w:val="both"/>
        <w:rPr>
          <w:bCs/>
        </w:rPr>
      </w:pPr>
      <w:r w:rsidRPr="00022EDA">
        <w:t xml:space="preserve">As at </w:t>
      </w:r>
      <w:r w:rsidR="00CA04DE" w:rsidRPr="00022EDA">
        <w:t xml:space="preserve">Quarter </w:t>
      </w:r>
      <w:r w:rsidR="000812B3" w:rsidRPr="00022EDA">
        <w:t>2</w:t>
      </w:r>
      <w:r w:rsidRPr="00022EDA">
        <w:t xml:space="preserve"> there is a</w:t>
      </w:r>
      <w:r w:rsidR="00A87D50" w:rsidRPr="00022EDA">
        <w:t xml:space="preserve"> forecast </w:t>
      </w:r>
      <w:r w:rsidR="00022EDA" w:rsidRPr="00CB1B58">
        <w:t xml:space="preserve">capacity </w:t>
      </w:r>
      <w:r w:rsidR="00A87D50" w:rsidRPr="00022EDA">
        <w:t xml:space="preserve">of </w:t>
      </w:r>
      <w:r w:rsidR="00022EDA" w:rsidRPr="00CB1B58">
        <w:t>(</w:t>
      </w:r>
      <w:r w:rsidR="00A87D50" w:rsidRPr="00022EDA">
        <w:t>£</w:t>
      </w:r>
      <w:r w:rsidR="00022EDA" w:rsidRPr="00CB1B58">
        <w:t>837</w:t>
      </w:r>
      <w:r w:rsidR="00A87D50" w:rsidRPr="00022EDA">
        <w:t>k</w:t>
      </w:r>
      <w:r w:rsidR="00022EDA" w:rsidRPr="00CB1B58">
        <w:t>)</w:t>
      </w:r>
      <w:r w:rsidRPr="00022EDA">
        <w:t xml:space="preserve"> in the HRA</w:t>
      </w:r>
      <w:r w:rsidR="00A53BFE" w:rsidRPr="00022EDA">
        <w:t xml:space="preserve">, an improvement against </w:t>
      </w:r>
      <w:r w:rsidR="00022EDA">
        <w:t>quarter 1</w:t>
      </w:r>
      <w:r w:rsidR="00A53BFE" w:rsidRPr="00022EDA">
        <w:t xml:space="preserve"> of </w:t>
      </w:r>
      <w:r w:rsidR="00022EDA" w:rsidRPr="00CB1B58">
        <w:t>(</w:t>
      </w:r>
      <w:r w:rsidR="00A53BFE" w:rsidRPr="00022EDA">
        <w:t>£</w:t>
      </w:r>
      <w:r w:rsidR="00022EDA" w:rsidRPr="00CB1B58">
        <w:t>1.153</w:t>
      </w:r>
      <w:r w:rsidR="00040E4D">
        <w:t>m</w:t>
      </w:r>
      <w:r w:rsidR="00022EDA" w:rsidRPr="00CB1B58">
        <w:t>)</w:t>
      </w:r>
      <w:r w:rsidR="00A53BFE" w:rsidRPr="00022EDA">
        <w:t xml:space="preserve"> due mainly to capacities identified on staffing and operating costs</w:t>
      </w:r>
      <w:r w:rsidR="00040E4D">
        <w:t>, this was</w:t>
      </w:r>
      <w:r w:rsidR="00022EDA" w:rsidRPr="00CB1B58">
        <w:t xml:space="preserve"> identified </w:t>
      </w:r>
      <w:r w:rsidR="00040E4D">
        <w:t xml:space="preserve">as part of the </w:t>
      </w:r>
      <w:r w:rsidR="00022EDA" w:rsidRPr="00CB1B58">
        <w:t>Service Review Programme aimed at addressing a range of financial challenges facing the Council’s HRA.</w:t>
      </w:r>
    </w:p>
    <w:p w14:paraId="79CAB619" w14:textId="5BBC1CD7" w:rsidR="00A53BFE" w:rsidRPr="00022EDA" w:rsidRDefault="004039DE" w:rsidP="00BB0A57">
      <w:pPr>
        <w:pStyle w:val="ListParagraph"/>
        <w:numPr>
          <w:ilvl w:val="1"/>
          <w:numId w:val="55"/>
        </w:numPr>
        <w:spacing w:after="120"/>
        <w:ind w:left="709" w:hanging="709"/>
        <w:jc w:val="both"/>
        <w:rPr>
          <w:bCs/>
        </w:rPr>
      </w:pPr>
      <w:r>
        <w:t xml:space="preserve">Included in the forecast position of (£837k) is the </w:t>
      </w:r>
      <w:r w:rsidR="00A53BFE" w:rsidRPr="00022EDA">
        <w:t xml:space="preserve">£200k interest payments to </w:t>
      </w:r>
      <w:r>
        <w:t xml:space="preserve">the </w:t>
      </w:r>
      <w:r w:rsidR="00A53BFE" w:rsidRPr="00022EDA">
        <w:t>D</w:t>
      </w:r>
      <w:r w:rsidR="00E33042" w:rsidRPr="00022EDA">
        <w:t xml:space="preserve">epartment for </w:t>
      </w:r>
      <w:r w:rsidR="00A53BFE" w:rsidRPr="00022EDA">
        <w:t>C</w:t>
      </w:r>
      <w:r w:rsidR="00E33042" w:rsidRPr="00022EDA">
        <w:t xml:space="preserve">ommunity and </w:t>
      </w:r>
      <w:r w:rsidR="00A53BFE" w:rsidRPr="00022EDA">
        <w:t>L</w:t>
      </w:r>
      <w:r w:rsidR="00E33042" w:rsidRPr="00022EDA">
        <w:t xml:space="preserve">ocal </w:t>
      </w:r>
      <w:r w:rsidR="00A53BFE" w:rsidRPr="00022EDA">
        <w:t>G</w:t>
      </w:r>
      <w:r w:rsidR="00E33042" w:rsidRPr="00022EDA">
        <w:t>over</w:t>
      </w:r>
      <w:r w:rsidR="00F92234" w:rsidRPr="00022EDA">
        <w:t>n</w:t>
      </w:r>
      <w:r w:rsidR="00E33042" w:rsidRPr="00022EDA">
        <w:t>ment</w:t>
      </w:r>
      <w:r w:rsidR="00A53BFE" w:rsidRPr="00022EDA">
        <w:t xml:space="preserve"> on retained Right to </w:t>
      </w:r>
      <w:proofErr w:type="gramStart"/>
      <w:r w:rsidR="00A53BFE" w:rsidRPr="00022EDA">
        <w:t>Buy</w:t>
      </w:r>
      <w:proofErr w:type="gramEnd"/>
      <w:r w:rsidR="00A53BFE" w:rsidRPr="00022EDA">
        <w:t xml:space="preserve"> receipts expected to be repaid to Government under terms of the retention </w:t>
      </w:r>
      <w:r w:rsidR="005A6DF0" w:rsidRPr="00022EDA">
        <w:t>agreement.</w:t>
      </w:r>
    </w:p>
    <w:p w14:paraId="7FDE338A" w14:textId="77777777" w:rsidR="004039DE" w:rsidRPr="000B0B9B" w:rsidRDefault="00B40A0E" w:rsidP="00CD735C">
      <w:pPr>
        <w:pStyle w:val="ListParagraph"/>
        <w:numPr>
          <w:ilvl w:val="1"/>
          <w:numId w:val="81"/>
        </w:numPr>
        <w:spacing w:after="120"/>
        <w:ind w:hanging="749"/>
        <w:jc w:val="both"/>
        <w:rPr>
          <w:bCs/>
        </w:rPr>
      </w:pPr>
      <w:r w:rsidRPr="00022EDA">
        <w:t>The c</w:t>
      </w:r>
      <w:r w:rsidR="00A87D50" w:rsidRPr="00022EDA">
        <w:t xml:space="preserve">osts of compulsory upgrade of IT systems have been reflected although additional pressures in this area </w:t>
      </w:r>
      <w:r w:rsidRPr="00022EDA">
        <w:t xml:space="preserve">are </w:t>
      </w:r>
      <w:r w:rsidR="005A6DF0" w:rsidRPr="00022EDA">
        <w:t>possible;</w:t>
      </w:r>
      <w:r w:rsidR="00A87D50" w:rsidRPr="00022EDA">
        <w:t xml:space="preserve"> </w:t>
      </w:r>
      <w:r w:rsidRPr="00022EDA">
        <w:t xml:space="preserve">an </w:t>
      </w:r>
      <w:r w:rsidR="00A87D50" w:rsidRPr="00022EDA">
        <w:t xml:space="preserve">impact assessment </w:t>
      </w:r>
      <w:r w:rsidRPr="00022EDA">
        <w:t xml:space="preserve">is </w:t>
      </w:r>
      <w:r w:rsidR="00A87D50" w:rsidRPr="00022EDA">
        <w:t xml:space="preserve">in progress. </w:t>
      </w:r>
    </w:p>
    <w:p w14:paraId="3B614223" w14:textId="5AAB58B1" w:rsidR="00AD4DC5" w:rsidRPr="00022EDA" w:rsidRDefault="00A87D50" w:rsidP="00404B4F">
      <w:pPr>
        <w:pStyle w:val="ListParagraph"/>
        <w:numPr>
          <w:ilvl w:val="1"/>
          <w:numId w:val="81"/>
        </w:numPr>
        <w:spacing w:after="120"/>
        <w:ind w:hanging="749"/>
        <w:jc w:val="both"/>
        <w:rPr>
          <w:bCs/>
        </w:rPr>
      </w:pPr>
      <w:r w:rsidRPr="00022EDA">
        <w:t xml:space="preserve">Reforms of HRA and Welfare, including rent reduction, borrowing cap and high value voids levy from 2018-19 continue to present significant challenges which are being addressed by </w:t>
      </w:r>
      <w:r w:rsidR="00B40A0E" w:rsidRPr="00022EDA">
        <w:t xml:space="preserve">the </w:t>
      </w:r>
      <w:r w:rsidRPr="00022EDA">
        <w:t>Housing Management Team.</w:t>
      </w:r>
    </w:p>
    <w:p w14:paraId="0C84DA27" w14:textId="019B3F0B" w:rsidR="00333BD7" w:rsidRPr="00AD4DC5" w:rsidRDefault="00333BD7" w:rsidP="00CD735C">
      <w:pPr>
        <w:pStyle w:val="ListParagraph"/>
        <w:numPr>
          <w:ilvl w:val="1"/>
          <w:numId w:val="102"/>
        </w:numPr>
        <w:spacing w:after="120"/>
        <w:ind w:left="709" w:hanging="851"/>
        <w:jc w:val="both"/>
        <w:rPr>
          <w:bCs/>
        </w:rPr>
      </w:pPr>
      <w:r w:rsidRPr="00022EDA">
        <w:t xml:space="preserve">A summary of the HRA position is provided below which includes </w:t>
      </w:r>
      <w:r w:rsidR="00613368">
        <w:t xml:space="preserve">  </w:t>
      </w:r>
      <w:r w:rsidRPr="00022EDA">
        <w:t>estimated balances;</w:t>
      </w:r>
    </w:p>
    <w:p w14:paraId="39F08BB5" w14:textId="77777777" w:rsidR="009D392C" w:rsidRDefault="009D392C" w:rsidP="00BB0A57">
      <w:pPr>
        <w:ind w:firstLine="720"/>
        <w:rPr>
          <w:b/>
          <w:u w:val="single"/>
        </w:rPr>
      </w:pPr>
    </w:p>
    <w:p w14:paraId="002FEC76" w14:textId="7A76706A" w:rsidR="00333BD7" w:rsidRDefault="00333BD7" w:rsidP="00BB0A57">
      <w:pPr>
        <w:ind w:firstLine="720"/>
        <w:rPr>
          <w:b/>
          <w:u w:val="single"/>
        </w:rPr>
      </w:pPr>
      <w:r>
        <w:rPr>
          <w:b/>
          <w:u w:val="single"/>
        </w:rPr>
        <w:t xml:space="preserve">Table </w:t>
      </w:r>
      <w:r w:rsidR="00040E4D">
        <w:rPr>
          <w:b/>
          <w:u w:val="single"/>
        </w:rPr>
        <w:t>7</w:t>
      </w:r>
      <w:r w:rsidRPr="00923BB3">
        <w:rPr>
          <w:b/>
          <w:u w:val="single"/>
        </w:rPr>
        <w:t>: HRA Variance</w:t>
      </w:r>
    </w:p>
    <w:p w14:paraId="79BF3B0F" w14:textId="77777777" w:rsidR="000812B3" w:rsidRPr="000839D1" w:rsidDel="000812B3" w:rsidRDefault="00AC66C5" w:rsidP="00333BD7">
      <w:pPr>
        <w:rPr>
          <w:noProof/>
          <w:lang w:eastAsia="en-GB"/>
        </w:rPr>
      </w:pPr>
      <w:r w:rsidRPr="00CB1B58">
        <w:rPr>
          <w:b/>
        </w:rPr>
        <w:tab/>
      </w:r>
    </w:p>
    <w:tbl>
      <w:tblPr>
        <w:tblStyle w:val="TableGrid"/>
        <w:tblW w:w="4000" w:type="dxa"/>
        <w:tblInd w:w="786" w:type="dxa"/>
        <w:tblLayout w:type="fixed"/>
        <w:tblLook w:val="04A0" w:firstRow="1" w:lastRow="0" w:firstColumn="1" w:lastColumn="0" w:noHBand="0" w:noVBand="1"/>
      </w:tblPr>
      <w:tblGrid>
        <w:gridCol w:w="1307"/>
        <w:gridCol w:w="1276"/>
        <w:gridCol w:w="1417"/>
      </w:tblGrid>
      <w:tr w:rsidR="000812B3" w:rsidRPr="000812B3" w14:paraId="2170F15E" w14:textId="77777777" w:rsidTr="00CB1B58">
        <w:tc>
          <w:tcPr>
            <w:tcW w:w="1307" w:type="dxa"/>
          </w:tcPr>
          <w:p w14:paraId="06CEA164" w14:textId="2D756B15" w:rsidR="000812B3" w:rsidRPr="000812B3" w:rsidRDefault="000812B3" w:rsidP="00CB1B58">
            <w:pPr>
              <w:jc w:val="center"/>
            </w:pPr>
            <w:r w:rsidRPr="000812B3">
              <w:t>Quarter 2</w:t>
            </w:r>
          </w:p>
          <w:p w14:paraId="40122ADB" w14:textId="77777777" w:rsidR="000812B3" w:rsidRPr="000812B3" w:rsidRDefault="000812B3">
            <w:pPr>
              <w:jc w:val="center"/>
            </w:pPr>
            <w:r w:rsidRPr="000812B3">
              <w:t>Variance</w:t>
            </w:r>
          </w:p>
          <w:p w14:paraId="337AA71F" w14:textId="5BBE4CC6" w:rsidR="000812B3" w:rsidRPr="00CB1B58" w:rsidRDefault="000812B3" w:rsidP="00CB1B58">
            <w:pPr>
              <w:jc w:val="center"/>
              <w:rPr>
                <w:u w:val="single"/>
              </w:rPr>
            </w:pPr>
            <w:r w:rsidRPr="000812B3">
              <w:t>£</w:t>
            </w:r>
            <w:r>
              <w:t>’</w:t>
            </w:r>
            <w:r w:rsidRPr="000812B3">
              <w:t>000</w:t>
            </w:r>
          </w:p>
        </w:tc>
        <w:tc>
          <w:tcPr>
            <w:tcW w:w="1276" w:type="dxa"/>
          </w:tcPr>
          <w:p w14:paraId="1625CCB8" w14:textId="77777777" w:rsidR="000812B3" w:rsidRDefault="000812B3" w:rsidP="00CB1B58">
            <w:pPr>
              <w:jc w:val="center"/>
            </w:pPr>
            <w:r w:rsidRPr="000812B3">
              <w:t>Quarter 1 Variance</w:t>
            </w:r>
          </w:p>
          <w:p w14:paraId="036A28AE" w14:textId="19BFA2F4" w:rsidR="000812B3" w:rsidRPr="00CB1B58" w:rsidRDefault="000812B3" w:rsidP="00CB1B58">
            <w:pPr>
              <w:jc w:val="center"/>
              <w:rPr>
                <w:u w:val="single"/>
              </w:rPr>
            </w:pPr>
            <w:r>
              <w:t>£’000</w:t>
            </w:r>
          </w:p>
        </w:tc>
        <w:tc>
          <w:tcPr>
            <w:tcW w:w="1417" w:type="dxa"/>
          </w:tcPr>
          <w:p w14:paraId="764A48B6" w14:textId="77777777" w:rsidR="000812B3" w:rsidRDefault="000812B3" w:rsidP="00333BD7">
            <w:r w:rsidRPr="000812B3">
              <w:t xml:space="preserve">Movement between Quarter 2 and Quarter 1 </w:t>
            </w:r>
          </w:p>
          <w:p w14:paraId="1AA75B94" w14:textId="56F30A70" w:rsidR="000812B3" w:rsidRPr="00CB1B58" w:rsidRDefault="000812B3" w:rsidP="00333BD7">
            <w:pPr>
              <w:rPr>
                <w:u w:val="single"/>
              </w:rPr>
            </w:pPr>
            <w:r>
              <w:t>£’000</w:t>
            </w:r>
          </w:p>
        </w:tc>
      </w:tr>
      <w:tr w:rsidR="000812B3" w:rsidRPr="000812B3" w14:paraId="385E01DA" w14:textId="77777777" w:rsidTr="00CB1B58">
        <w:trPr>
          <w:trHeight w:val="300"/>
        </w:trPr>
        <w:tc>
          <w:tcPr>
            <w:tcW w:w="1307" w:type="dxa"/>
          </w:tcPr>
          <w:p w14:paraId="04E86A42" w14:textId="6688B5F9" w:rsidR="000812B3" w:rsidRPr="00CB1B58" w:rsidRDefault="00040E4D" w:rsidP="00333BD7">
            <w:r>
              <w:t>(</w:t>
            </w:r>
            <w:r w:rsidR="000812B3">
              <w:t>837</w:t>
            </w:r>
            <w:r>
              <w:t>)</w:t>
            </w:r>
          </w:p>
        </w:tc>
        <w:tc>
          <w:tcPr>
            <w:tcW w:w="1276" w:type="dxa"/>
          </w:tcPr>
          <w:p w14:paraId="634127E9" w14:textId="70E62ACA" w:rsidR="000812B3" w:rsidRPr="00CB1B58" w:rsidRDefault="000812B3" w:rsidP="00333BD7">
            <w:r w:rsidRPr="00CB1B58">
              <w:t>316</w:t>
            </w:r>
          </w:p>
        </w:tc>
        <w:tc>
          <w:tcPr>
            <w:tcW w:w="1417" w:type="dxa"/>
          </w:tcPr>
          <w:p w14:paraId="55A50FDA" w14:textId="7F4D0CA8" w:rsidR="000812B3" w:rsidRPr="00CB1B58" w:rsidRDefault="00040E4D" w:rsidP="00333BD7">
            <w:r>
              <w:t>(</w:t>
            </w:r>
            <w:r w:rsidR="000812B3" w:rsidRPr="00CB1B58">
              <w:t>1,153</w:t>
            </w:r>
            <w:r>
              <w:t>)</w:t>
            </w:r>
          </w:p>
        </w:tc>
      </w:tr>
    </w:tbl>
    <w:p w14:paraId="5D969969" w14:textId="2CC384DA" w:rsidR="00333BD7" w:rsidRPr="00CB1B58" w:rsidRDefault="00333BD7" w:rsidP="00333BD7">
      <w:pPr>
        <w:rPr>
          <w:u w:val="single"/>
        </w:rPr>
      </w:pPr>
    </w:p>
    <w:p w14:paraId="2D7D7F13" w14:textId="77777777" w:rsidR="00EC7194" w:rsidRDefault="00EC7194" w:rsidP="00333BD7">
      <w:pPr>
        <w:rPr>
          <w:b/>
          <w:u w:val="single"/>
        </w:rPr>
      </w:pPr>
    </w:p>
    <w:p w14:paraId="002F9C3B" w14:textId="77777777" w:rsidR="00C97D07" w:rsidRPr="00923BB3" w:rsidRDefault="00C97D07" w:rsidP="00333BD7">
      <w:pPr>
        <w:rPr>
          <w:b/>
          <w:u w:val="single"/>
        </w:rPr>
      </w:pPr>
    </w:p>
    <w:p w14:paraId="67C89C5B" w14:textId="578FAE3A" w:rsidR="00333BD7" w:rsidRPr="00C97D07" w:rsidRDefault="00FF61D4" w:rsidP="007A5EAC">
      <w:pPr>
        <w:pStyle w:val="ListParagraph"/>
        <w:spacing w:after="120"/>
        <w:ind w:left="567"/>
        <w:rPr>
          <w:b/>
          <w:bCs/>
          <w:u w:val="single"/>
        </w:rPr>
      </w:pPr>
      <w:r>
        <w:rPr>
          <w:b/>
          <w:bCs/>
        </w:rPr>
        <w:t xml:space="preserve">  </w:t>
      </w:r>
      <w:r w:rsidR="00333BD7" w:rsidRPr="00C97D07">
        <w:rPr>
          <w:b/>
          <w:bCs/>
          <w:u w:val="single"/>
        </w:rPr>
        <w:t>CORPORATE BUDGETS</w:t>
      </w:r>
    </w:p>
    <w:p w14:paraId="0A11AD95" w14:textId="196ED3EE" w:rsidR="00333BD7" w:rsidRPr="000B0B9B" w:rsidRDefault="00333BD7" w:rsidP="00CD735C">
      <w:pPr>
        <w:pStyle w:val="ListParagraph"/>
        <w:numPr>
          <w:ilvl w:val="1"/>
          <w:numId w:val="73"/>
        </w:numPr>
        <w:spacing w:after="120"/>
        <w:ind w:hanging="749"/>
        <w:jc w:val="both"/>
        <w:rPr>
          <w:bCs/>
        </w:rPr>
      </w:pPr>
      <w:r w:rsidRPr="00333BD7">
        <w:t>Corporate budgets are forecast to underspend by (£</w:t>
      </w:r>
      <w:r w:rsidR="00AC66C5">
        <w:t>1.</w:t>
      </w:r>
      <w:r w:rsidR="0021608E">
        <w:t>721</w:t>
      </w:r>
      <w:r w:rsidRPr="00333BD7">
        <w:t xml:space="preserve">m). This </w:t>
      </w:r>
      <w:r>
        <w:t>underspend</w:t>
      </w:r>
      <w:r w:rsidRPr="00333BD7">
        <w:t xml:space="preserve"> include</w:t>
      </w:r>
      <w:r>
        <w:t>s</w:t>
      </w:r>
      <w:r w:rsidRPr="00333BD7">
        <w:t xml:space="preserve"> unallocated inflation budgets, other contingencies and grants</w:t>
      </w:r>
      <w:r>
        <w:t>.</w:t>
      </w:r>
      <w:r w:rsidR="00A23F65">
        <w:t xml:space="preserve"> The council </w:t>
      </w:r>
      <w:r w:rsidR="00AC66C5">
        <w:t xml:space="preserve">has also </w:t>
      </w:r>
      <w:r w:rsidR="00A53BFE" w:rsidRPr="00A53BFE">
        <w:t>receive</w:t>
      </w:r>
      <w:r w:rsidR="00AC66C5">
        <w:t>d</w:t>
      </w:r>
      <w:r w:rsidR="000C4E78">
        <w:t xml:space="preserve"> </w:t>
      </w:r>
      <w:r w:rsidR="00A53BFE" w:rsidRPr="00A53BFE">
        <w:t xml:space="preserve">one off income of (£834k) </w:t>
      </w:r>
      <w:r w:rsidR="00AC66C5">
        <w:t>after the budget was set in February</w:t>
      </w:r>
      <w:r w:rsidR="00F92234">
        <w:t xml:space="preserve"> 2017</w:t>
      </w:r>
      <w:r w:rsidR="00AC66C5">
        <w:t>.</w:t>
      </w:r>
    </w:p>
    <w:p w14:paraId="64600033" w14:textId="6B624BE6" w:rsidR="00A23F65" w:rsidRPr="00146A7B" w:rsidRDefault="004039DE" w:rsidP="00CD735C">
      <w:pPr>
        <w:pStyle w:val="ListParagraph"/>
        <w:numPr>
          <w:ilvl w:val="1"/>
          <w:numId w:val="91"/>
        </w:numPr>
        <w:spacing w:after="120"/>
        <w:ind w:hanging="749"/>
        <w:jc w:val="both"/>
        <w:rPr>
          <w:bCs/>
        </w:rPr>
      </w:pPr>
      <w:r w:rsidRPr="004039DE">
        <w:t>Included in the forecast balanced position is the £3.093m use of fund</w:t>
      </w:r>
      <w:r w:rsidR="000C4E78">
        <w:t>s</w:t>
      </w:r>
      <w:r w:rsidRPr="004039DE">
        <w:t xml:space="preserve"> realised from assets disposal under the capital flexibility scheme that was introduced in 2016/17. </w:t>
      </w:r>
    </w:p>
    <w:p w14:paraId="08C0DB51" w14:textId="77777777" w:rsidR="00CF3C93" w:rsidRPr="005163C5" w:rsidRDefault="00CF3C93" w:rsidP="00146A7B">
      <w:pPr>
        <w:pStyle w:val="ListParagraph"/>
        <w:spacing w:after="120"/>
        <w:ind w:left="709"/>
        <w:jc w:val="both"/>
        <w:rPr>
          <w:bCs/>
        </w:rPr>
      </w:pPr>
    </w:p>
    <w:p w14:paraId="474FC3D5" w14:textId="2F99F806" w:rsidR="005A6DF0" w:rsidRPr="00404B4F" w:rsidRDefault="005A6DF0" w:rsidP="00404B4F">
      <w:pPr>
        <w:spacing w:after="120"/>
        <w:ind w:firstLine="709"/>
        <w:jc w:val="both"/>
        <w:rPr>
          <w:b/>
          <w:bCs/>
          <w:i/>
        </w:rPr>
      </w:pPr>
      <w:r w:rsidRPr="00404B4F">
        <w:rPr>
          <w:b/>
          <w:bCs/>
          <w:i/>
        </w:rPr>
        <w:t>SPENDING CONTROL FREEZE</w:t>
      </w:r>
    </w:p>
    <w:p w14:paraId="29D03B9D" w14:textId="319A9600" w:rsidR="003E0B7C" w:rsidRDefault="005A6DF0" w:rsidP="00CD735C">
      <w:pPr>
        <w:pStyle w:val="ListParagraph"/>
        <w:numPr>
          <w:ilvl w:val="1"/>
          <w:numId w:val="76"/>
        </w:numPr>
        <w:spacing w:after="120"/>
        <w:ind w:left="709" w:hanging="709"/>
        <w:jc w:val="both"/>
        <w:rPr>
          <w:bCs/>
        </w:rPr>
      </w:pPr>
      <w:r>
        <w:rPr>
          <w:bCs/>
        </w:rPr>
        <w:t xml:space="preserve">In </w:t>
      </w:r>
      <w:r w:rsidR="00961657">
        <w:rPr>
          <w:bCs/>
        </w:rPr>
        <w:t xml:space="preserve">Period </w:t>
      </w:r>
      <w:r w:rsidRPr="005A6DF0">
        <w:rPr>
          <w:bCs/>
        </w:rPr>
        <w:t xml:space="preserve">2, a balanced position was reported after </w:t>
      </w:r>
      <w:r w:rsidR="00934BDE">
        <w:rPr>
          <w:bCs/>
        </w:rPr>
        <w:t xml:space="preserve">proposing </w:t>
      </w:r>
      <w:r w:rsidR="00F92234">
        <w:rPr>
          <w:bCs/>
        </w:rPr>
        <w:t>a £</w:t>
      </w:r>
      <w:r w:rsidR="00AC66C5">
        <w:rPr>
          <w:bCs/>
        </w:rPr>
        <w:t>1.5m spending control and Spending F</w:t>
      </w:r>
      <w:r w:rsidRPr="005A6DF0">
        <w:rPr>
          <w:bCs/>
        </w:rPr>
        <w:t xml:space="preserve">reeze </w:t>
      </w:r>
      <w:r w:rsidR="003E0B7C" w:rsidRPr="005A6DF0">
        <w:rPr>
          <w:bCs/>
        </w:rPr>
        <w:t>contribution across</w:t>
      </w:r>
      <w:r w:rsidRPr="005A6DF0">
        <w:rPr>
          <w:bCs/>
        </w:rPr>
        <w:t xml:space="preserve"> the </w:t>
      </w:r>
      <w:r w:rsidR="00F92234">
        <w:rPr>
          <w:bCs/>
        </w:rPr>
        <w:t>D</w:t>
      </w:r>
      <w:r w:rsidRPr="005A6DF0">
        <w:rPr>
          <w:bCs/>
        </w:rPr>
        <w:t>irectorate</w:t>
      </w:r>
      <w:r w:rsidR="00F92234">
        <w:rPr>
          <w:bCs/>
        </w:rPr>
        <w:t>s</w:t>
      </w:r>
      <w:r w:rsidRPr="005A6DF0">
        <w:rPr>
          <w:bCs/>
        </w:rPr>
        <w:t>.</w:t>
      </w:r>
    </w:p>
    <w:p w14:paraId="2603570B" w14:textId="77777777" w:rsidR="000C4E78" w:rsidRDefault="00934BDE" w:rsidP="00CD735C">
      <w:pPr>
        <w:pStyle w:val="ListParagraph"/>
        <w:numPr>
          <w:ilvl w:val="1"/>
          <w:numId w:val="50"/>
        </w:numPr>
        <w:spacing w:after="120"/>
        <w:ind w:left="709" w:hanging="709"/>
        <w:jc w:val="both"/>
        <w:rPr>
          <w:bCs/>
        </w:rPr>
      </w:pPr>
      <w:r w:rsidRPr="000C4E78">
        <w:rPr>
          <w:bCs/>
        </w:rPr>
        <w:t>F</w:t>
      </w:r>
      <w:r w:rsidR="005A6DF0" w:rsidRPr="000C4E78">
        <w:rPr>
          <w:bCs/>
        </w:rPr>
        <w:t xml:space="preserve">urther work has </w:t>
      </w:r>
      <w:r w:rsidRPr="000C4E78">
        <w:rPr>
          <w:bCs/>
        </w:rPr>
        <w:t>now been</w:t>
      </w:r>
      <w:r w:rsidR="005A6DF0" w:rsidRPr="000C4E78">
        <w:rPr>
          <w:bCs/>
        </w:rPr>
        <w:t xml:space="preserve"> done </w:t>
      </w:r>
      <w:r w:rsidRPr="000C4E78">
        <w:rPr>
          <w:bCs/>
        </w:rPr>
        <w:t xml:space="preserve">on this </w:t>
      </w:r>
      <w:r w:rsidR="00E8374A" w:rsidRPr="000C4E78">
        <w:rPr>
          <w:bCs/>
        </w:rPr>
        <w:t>proposal;</w:t>
      </w:r>
      <w:r w:rsidRPr="000C4E78">
        <w:rPr>
          <w:bCs/>
        </w:rPr>
        <w:t xml:space="preserve"> </w:t>
      </w:r>
      <w:r w:rsidR="003E0B7C" w:rsidRPr="000C4E78">
        <w:rPr>
          <w:bCs/>
        </w:rPr>
        <w:t xml:space="preserve">a total of </w:t>
      </w:r>
      <w:r w:rsidR="006C2029" w:rsidRPr="000C4E78">
        <w:rPr>
          <w:bCs/>
        </w:rPr>
        <w:t>(</w:t>
      </w:r>
      <w:r w:rsidR="003E0B7C" w:rsidRPr="000C4E78">
        <w:rPr>
          <w:bCs/>
        </w:rPr>
        <w:t>£1.</w:t>
      </w:r>
      <w:r w:rsidR="00CF462D" w:rsidRPr="000C4E78">
        <w:rPr>
          <w:bCs/>
        </w:rPr>
        <w:t>325</w:t>
      </w:r>
      <w:r w:rsidR="005A6DF0" w:rsidRPr="000C4E78">
        <w:rPr>
          <w:bCs/>
        </w:rPr>
        <w:t>m</w:t>
      </w:r>
      <w:r w:rsidR="006C2029" w:rsidRPr="000C4E78">
        <w:rPr>
          <w:bCs/>
        </w:rPr>
        <w:t>)</w:t>
      </w:r>
      <w:r w:rsidR="005A6DF0" w:rsidRPr="000C4E78">
        <w:rPr>
          <w:bCs/>
        </w:rPr>
        <w:t xml:space="preserve"> ha</w:t>
      </w:r>
      <w:r w:rsidR="00F92234" w:rsidRPr="000C4E78">
        <w:rPr>
          <w:bCs/>
        </w:rPr>
        <w:t>s</w:t>
      </w:r>
      <w:r w:rsidR="005A6DF0" w:rsidRPr="000C4E78">
        <w:rPr>
          <w:bCs/>
        </w:rPr>
        <w:t xml:space="preserve"> been identified</w:t>
      </w:r>
      <w:r w:rsidR="008B4ED0" w:rsidRPr="000C4E78">
        <w:rPr>
          <w:bCs/>
        </w:rPr>
        <w:t xml:space="preserve"> </w:t>
      </w:r>
      <w:r w:rsidRPr="000C4E78">
        <w:rPr>
          <w:bCs/>
        </w:rPr>
        <w:t>across the directorate</w:t>
      </w:r>
      <w:r w:rsidR="00F92234" w:rsidRPr="000C4E78">
        <w:rPr>
          <w:bCs/>
        </w:rPr>
        <w:t>s</w:t>
      </w:r>
      <w:r w:rsidRPr="000C4E78">
        <w:rPr>
          <w:bCs/>
        </w:rPr>
        <w:t xml:space="preserve"> </w:t>
      </w:r>
      <w:r w:rsidR="005A6DF0" w:rsidRPr="000C4E78">
        <w:rPr>
          <w:bCs/>
        </w:rPr>
        <w:t>as the amount that</w:t>
      </w:r>
      <w:r w:rsidRPr="000C4E78">
        <w:rPr>
          <w:bCs/>
        </w:rPr>
        <w:t xml:space="preserve"> </w:t>
      </w:r>
      <w:r w:rsidR="005A6DF0" w:rsidRPr="000C4E78">
        <w:rPr>
          <w:bCs/>
        </w:rPr>
        <w:t>directorate</w:t>
      </w:r>
      <w:r w:rsidR="008B4ED0" w:rsidRPr="000C4E78">
        <w:rPr>
          <w:bCs/>
        </w:rPr>
        <w:t>s</w:t>
      </w:r>
      <w:r w:rsidR="005A6DF0" w:rsidRPr="000C4E78">
        <w:rPr>
          <w:bCs/>
        </w:rPr>
        <w:t xml:space="preserve"> are able to contribute towards the spending control</w:t>
      </w:r>
      <w:r w:rsidR="00D63B83" w:rsidRPr="000C4E78">
        <w:rPr>
          <w:bCs/>
        </w:rPr>
        <w:t>s</w:t>
      </w:r>
      <w:r w:rsidR="000C4E78" w:rsidRPr="000C4E78">
        <w:rPr>
          <w:bCs/>
        </w:rPr>
        <w:t>.</w:t>
      </w:r>
      <w:r w:rsidR="00E77B2E" w:rsidRPr="000C4E78">
        <w:rPr>
          <w:bCs/>
        </w:rPr>
        <w:t xml:space="preserve"> </w:t>
      </w:r>
    </w:p>
    <w:p w14:paraId="4D6A0705" w14:textId="1B344398" w:rsidR="005A6DF0" w:rsidRPr="000C4E78" w:rsidRDefault="00754A97" w:rsidP="00CB1B58">
      <w:pPr>
        <w:pStyle w:val="ListParagraph"/>
        <w:numPr>
          <w:ilvl w:val="1"/>
          <w:numId w:val="50"/>
        </w:numPr>
        <w:spacing w:after="120"/>
        <w:ind w:left="709" w:hanging="709"/>
        <w:jc w:val="both"/>
        <w:rPr>
          <w:bCs/>
        </w:rPr>
      </w:pPr>
      <w:r w:rsidRPr="000C4E78">
        <w:rPr>
          <w:bCs/>
        </w:rPr>
        <w:t>T</w:t>
      </w:r>
      <w:r w:rsidR="00A23F65" w:rsidRPr="000C4E78">
        <w:rPr>
          <w:bCs/>
        </w:rPr>
        <w:t xml:space="preserve">able </w:t>
      </w:r>
      <w:r w:rsidR="00040E4D" w:rsidRPr="000C4E78">
        <w:rPr>
          <w:bCs/>
        </w:rPr>
        <w:t>8</w:t>
      </w:r>
      <w:r w:rsidRPr="000C4E78">
        <w:rPr>
          <w:bCs/>
        </w:rPr>
        <w:t xml:space="preserve"> </w:t>
      </w:r>
      <w:r w:rsidR="00A23F65" w:rsidRPr="000C4E78">
        <w:rPr>
          <w:bCs/>
        </w:rPr>
        <w:t xml:space="preserve">below </w:t>
      </w:r>
      <w:r w:rsidRPr="000C4E78">
        <w:rPr>
          <w:bCs/>
        </w:rPr>
        <w:t xml:space="preserve">shows the </w:t>
      </w:r>
      <w:r w:rsidR="00A23F65" w:rsidRPr="000C4E78">
        <w:rPr>
          <w:bCs/>
        </w:rPr>
        <w:t xml:space="preserve">breakdown of </w:t>
      </w:r>
      <w:r w:rsidR="00CF462D" w:rsidRPr="000C4E78">
        <w:rPr>
          <w:bCs/>
        </w:rPr>
        <w:t>the £1.3</w:t>
      </w:r>
      <w:r w:rsidR="00A23F65" w:rsidRPr="000C4E78">
        <w:rPr>
          <w:bCs/>
        </w:rPr>
        <w:t xml:space="preserve">25m by directorate. </w:t>
      </w:r>
    </w:p>
    <w:p w14:paraId="6CA04FAD" w14:textId="3F11E759" w:rsidR="00CF462D" w:rsidRPr="00404B4F" w:rsidRDefault="00A23F65" w:rsidP="00BB0A57">
      <w:pPr>
        <w:pStyle w:val="ListParagraph"/>
        <w:spacing w:after="120"/>
        <w:ind w:left="709"/>
        <w:jc w:val="both"/>
        <w:rPr>
          <w:b/>
          <w:bCs/>
          <w:u w:val="single"/>
        </w:rPr>
      </w:pPr>
      <w:r w:rsidRPr="00404B4F">
        <w:rPr>
          <w:b/>
          <w:bCs/>
          <w:u w:val="single"/>
        </w:rPr>
        <w:t xml:space="preserve">Table </w:t>
      </w:r>
      <w:r w:rsidR="00040E4D">
        <w:rPr>
          <w:b/>
          <w:bCs/>
          <w:u w:val="single"/>
        </w:rPr>
        <w:t>8</w:t>
      </w:r>
      <w:r w:rsidR="00AC0A97" w:rsidRPr="00404B4F">
        <w:rPr>
          <w:b/>
          <w:bCs/>
          <w:u w:val="single"/>
        </w:rPr>
        <w:t>:</w:t>
      </w:r>
      <w:r w:rsidR="00CF462D" w:rsidRPr="00404B4F">
        <w:rPr>
          <w:b/>
          <w:bCs/>
          <w:u w:val="single"/>
        </w:rPr>
        <w:t xml:space="preserve"> Spending Control Freeze</w:t>
      </w:r>
    </w:p>
    <w:p w14:paraId="533BD3C9" w14:textId="4BC5223C" w:rsidR="00CF462D" w:rsidRPr="00BB0A57" w:rsidRDefault="007900C0" w:rsidP="00BB0A57">
      <w:pPr>
        <w:pStyle w:val="ListParagraph"/>
        <w:spacing w:after="120"/>
        <w:ind w:left="709"/>
        <w:jc w:val="both"/>
        <w:rPr>
          <w:bCs/>
          <w:u w:val="single"/>
        </w:rPr>
      </w:pPr>
      <w:r w:rsidRPr="007900C0">
        <w:rPr>
          <w:noProof/>
          <w:lang w:eastAsia="en-GB"/>
        </w:rPr>
        <w:drawing>
          <wp:inline distT="0" distB="0" distL="0" distR="0" wp14:anchorId="511F4DF2" wp14:editId="72C4A3DD">
            <wp:extent cx="4526280" cy="2651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6280" cy="2651760"/>
                    </a:xfrm>
                    <a:prstGeom prst="rect">
                      <a:avLst/>
                    </a:prstGeom>
                    <a:noFill/>
                    <a:ln>
                      <a:noFill/>
                    </a:ln>
                  </pic:spPr>
                </pic:pic>
              </a:graphicData>
            </a:graphic>
          </wp:inline>
        </w:drawing>
      </w:r>
    </w:p>
    <w:p w14:paraId="58233814" w14:textId="35B03F64" w:rsidR="005A6DF0" w:rsidRPr="00CB1B58" w:rsidRDefault="005A6DF0" w:rsidP="00E07305">
      <w:pPr>
        <w:rPr>
          <w:b/>
          <w:bCs/>
        </w:rPr>
      </w:pPr>
    </w:p>
    <w:p w14:paraId="3CB6C434" w14:textId="77777777" w:rsidR="00746A92" w:rsidRDefault="009F4A02" w:rsidP="00BB0A57">
      <w:pPr>
        <w:rPr>
          <w:b/>
        </w:rPr>
      </w:pPr>
      <w:r w:rsidRPr="00CB1B58">
        <w:rPr>
          <w:b/>
        </w:rPr>
        <w:tab/>
      </w:r>
    </w:p>
    <w:p w14:paraId="76EAD78E" w14:textId="4A91DBF4" w:rsidR="00A23F65" w:rsidRDefault="009F4A02" w:rsidP="00BD2AC5">
      <w:pPr>
        <w:ind w:firstLine="709"/>
        <w:rPr>
          <w:b/>
          <w:u w:val="single"/>
        </w:rPr>
      </w:pPr>
      <w:r w:rsidRPr="00CB1B58">
        <w:rPr>
          <w:b/>
          <w:u w:val="single"/>
        </w:rPr>
        <w:t>CAPITAL FLEXIBILITY</w:t>
      </w:r>
    </w:p>
    <w:p w14:paraId="78155751" w14:textId="77777777" w:rsidR="00A9141E" w:rsidRPr="00CB1B58" w:rsidRDefault="00A9141E" w:rsidP="00BB0A57">
      <w:pPr>
        <w:rPr>
          <w:b/>
          <w:u w:val="single"/>
        </w:rPr>
      </w:pPr>
    </w:p>
    <w:p w14:paraId="78DE2DE2" w14:textId="5B52E498" w:rsidR="00851D8F" w:rsidRPr="00CB1B58" w:rsidRDefault="009F4A02" w:rsidP="00CB1B58">
      <w:pPr>
        <w:pStyle w:val="ListParagraph"/>
        <w:numPr>
          <w:ilvl w:val="1"/>
          <w:numId w:val="50"/>
        </w:numPr>
        <w:spacing w:after="120"/>
        <w:ind w:left="709" w:hanging="709"/>
        <w:jc w:val="both"/>
        <w:rPr>
          <w:u w:val="single"/>
        </w:rPr>
      </w:pPr>
      <w:r>
        <w:t xml:space="preserve">Included in the </w:t>
      </w:r>
      <w:r w:rsidR="000B334B">
        <w:t xml:space="preserve">forecast </w:t>
      </w:r>
      <w:r>
        <w:t>balanced position</w:t>
      </w:r>
      <w:r w:rsidR="00851D8F">
        <w:t xml:space="preserve"> that is been reported at Q</w:t>
      </w:r>
      <w:r w:rsidR="00A9141E">
        <w:t>uarter 2</w:t>
      </w:r>
      <w:r>
        <w:t xml:space="preserve"> is </w:t>
      </w:r>
      <w:r w:rsidR="000B334B">
        <w:t xml:space="preserve">the </w:t>
      </w:r>
      <w:r w:rsidR="00A9141E">
        <w:t xml:space="preserve">use of </w:t>
      </w:r>
      <w:r w:rsidR="000B334B">
        <w:t xml:space="preserve">£3.093m fund realised from assets disposal under the capital </w:t>
      </w:r>
      <w:r w:rsidR="00A9141E">
        <w:t xml:space="preserve">receipts </w:t>
      </w:r>
      <w:r w:rsidR="000B334B">
        <w:t>flexibility</w:t>
      </w:r>
      <w:r w:rsidR="00B7719A">
        <w:t xml:space="preserve"> (CRF)</w:t>
      </w:r>
      <w:r w:rsidR="000B334B">
        <w:t xml:space="preserve"> scheme that was introduced </w:t>
      </w:r>
      <w:r w:rsidR="00A9141E">
        <w:t xml:space="preserve">by the central government </w:t>
      </w:r>
      <w:r w:rsidR="000B334B">
        <w:t xml:space="preserve">in 2016/17. </w:t>
      </w:r>
      <w:r w:rsidR="00A9141E">
        <w:t xml:space="preserve">Of the assets that were disposed last year, £4.349m </w:t>
      </w:r>
      <w:r w:rsidR="000B334B">
        <w:t xml:space="preserve">was carried forward </w:t>
      </w:r>
      <w:r w:rsidR="00A9141E">
        <w:t>to 2017/</w:t>
      </w:r>
      <w:proofErr w:type="gramStart"/>
      <w:r w:rsidR="00A9141E">
        <w:t>18,</w:t>
      </w:r>
      <w:proofErr w:type="gramEnd"/>
      <w:r w:rsidR="00A9141E">
        <w:t xml:space="preserve"> </w:t>
      </w:r>
      <w:r w:rsidR="007E2114">
        <w:t xml:space="preserve">£3.093m </w:t>
      </w:r>
      <w:r w:rsidR="00B7719A">
        <w:t xml:space="preserve">of this </w:t>
      </w:r>
      <w:r w:rsidR="007E2114">
        <w:t>will be applied</w:t>
      </w:r>
      <w:r w:rsidR="00B7719A">
        <w:t xml:space="preserve"> this year under the CRF</w:t>
      </w:r>
      <w:r w:rsidR="007E2114">
        <w:t xml:space="preserve"> while the remaining </w:t>
      </w:r>
      <w:r w:rsidR="00A9141E">
        <w:t>£1.256</w:t>
      </w:r>
      <w:r w:rsidR="007E2114">
        <w:t xml:space="preserve">m </w:t>
      </w:r>
      <w:r w:rsidR="00F05D5E">
        <w:t xml:space="preserve">is carried forward to </w:t>
      </w:r>
      <w:r w:rsidR="000C4E78">
        <w:t xml:space="preserve">applied </w:t>
      </w:r>
      <w:r w:rsidR="00F05D5E">
        <w:t>2018-19</w:t>
      </w:r>
      <w:r w:rsidR="000C4E78">
        <w:t>.</w:t>
      </w:r>
      <w:r w:rsidR="00F05D5E">
        <w:t xml:space="preserve"> </w:t>
      </w:r>
    </w:p>
    <w:p w14:paraId="454922F7" w14:textId="77777777" w:rsidR="00CF3C93" w:rsidRDefault="00CF3C93" w:rsidP="009F4A02">
      <w:pPr>
        <w:pStyle w:val="Heading4"/>
        <w:spacing w:after="240"/>
        <w:ind w:left="709"/>
        <w:jc w:val="both"/>
        <w:rPr>
          <w:u w:val="single"/>
        </w:rPr>
      </w:pPr>
    </w:p>
    <w:p w14:paraId="6EE20F2C" w14:textId="77777777" w:rsidR="009F4A02" w:rsidRPr="00404B4F" w:rsidRDefault="009F4A02" w:rsidP="009F4A02">
      <w:pPr>
        <w:pStyle w:val="Heading4"/>
        <w:spacing w:after="240"/>
        <w:ind w:left="709"/>
        <w:jc w:val="both"/>
        <w:rPr>
          <w:u w:val="single"/>
        </w:rPr>
      </w:pPr>
      <w:r w:rsidRPr="00404B4F">
        <w:rPr>
          <w:u w:val="single"/>
        </w:rPr>
        <w:t>CONTINGENCIES AND RESERVES</w:t>
      </w:r>
    </w:p>
    <w:p w14:paraId="15793715" w14:textId="77777777" w:rsidR="002C4256" w:rsidRDefault="00333BD7" w:rsidP="00CB1B58">
      <w:pPr>
        <w:pStyle w:val="ListParagraph"/>
        <w:numPr>
          <w:ilvl w:val="1"/>
          <w:numId w:val="50"/>
        </w:numPr>
        <w:spacing w:after="120"/>
        <w:ind w:left="709" w:hanging="709"/>
        <w:jc w:val="both"/>
        <w:rPr>
          <w:bCs/>
        </w:rPr>
      </w:pPr>
      <w:r w:rsidRPr="00333BD7">
        <w:rPr>
          <w:bCs/>
        </w:rPr>
        <w:t xml:space="preserve">The contingencies exist to cover unavoidable pressures together with other unforeseen items and spending pressures and to cover areas of risk and uncertainty.  </w:t>
      </w:r>
    </w:p>
    <w:p w14:paraId="4AD2FDE7" w14:textId="14C65890" w:rsidR="00A95580" w:rsidRDefault="002C4256" w:rsidP="00BB0A57">
      <w:pPr>
        <w:pStyle w:val="ListParagraph"/>
        <w:spacing w:after="120"/>
        <w:ind w:left="709"/>
        <w:jc w:val="both"/>
        <w:rPr>
          <w:bCs/>
        </w:rPr>
      </w:pPr>
      <w:proofErr w:type="gramStart"/>
      <w:r>
        <w:rPr>
          <w:bCs/>
        </w:rPr>
        <w:t xml:space="preserve">The contingency </w:t>
      </w:r>
      <w:r w:rsidR="00A43443">
        <w:rPr>
          <w:bCs/>
        </w:rPr>
        <w:t xml:space="preserve">for unforeseen items </w:t>
      </w:r>
      <w:r w:rsidR="00D54B98">
        <w:rPr>
          <w:bCs/>
        </w:rPr>
        <w:t>of £</w:t>
      </w:r>
      <w:r>
        <w:rPr>
          <w:bCs/>
        </w:rPr>
        <w:t xml:space="preserve">1.248m </w:t>
      </w:r>
      <w:r w:rsidR="008D6DA6">
        <w:rPr>
          <w:bCs/>
        </w:rPr>
        <w:t>being used</w:t>
      </w:r>
      <w:r w:rsidR="00D54B98">
        <w:rPr>
          <w:bCs/>
        </w:rPr>
        <w:t xml:space="preserve"> </w:t>
      </w:r>
      <w:r w:rsidR="00A43443">
        <w:rPr>
          <w:bCs/>
        </w:rPr>
        <w:t xml:space="preserve">in full </w:t>
      </w:r>
      <w:r w:rsidR="00F865BD">
        <w:rPr>
          <w:bCs/>
        </w:rPr>
        <w:t xml:space="preserve">for </w:t>
      </w:r>
      <w:r>
        <w:rPr>
          <w:bCs/>
        </w:rPr>
        <w:t>Pinner Wood School</w:t>
      </w:r>
      <w:r w:rsidR="007018B5">
        <w:rPr>
          <w:bCs/>
        </w:rPr>
        <w:t>.</w:t>
      </w:r>
      <w:proofErr w:type="gramEnd"/>
      <w:r w:rsidR="003532CD">
        <w:rPr>
          <w:bCs/>
        </w:rPr>
        <w:t xml:space="preserve"> </w:t>
      </w:r>
    </w:p>
    <w:p w14:paraId="516364FA" w14:textId="6435EEAD" w:rsidR="006C2029" w:rsidRPr="00404B4F" w:rsidRDefault="00333BD7" w:rsidP="00CD735C">
      <w:pPr>
        <w:pStyle w:val="ListParagraph"/>
        <w:numPr>
          <w:ilvl w:val="1"/>
          <w:numId w:val="56"/>
        </w:numPr>
        <w:spacing w:after="120"/>
        <w:ind w:hanging="607"/>
        <w:jc w:val="both"/>
        <w:rPr>
          <w:b/>
          <w:u w:val="single"/>
        </w:rPr>
      </w:pPr>
      <w:r w:rsidRPr="00E07305">
        <w:rPr>
          <w:bCs/>
        </w:rPr>
        <w:t xml:space="preserve">There are also a number of specific reserves for a variety of purposes as identified in table </w:t>
      </w:r>
      <w:r w:rsidR="00040E4D">
        <w:rPr>
          <w:bCs/>
        </w:rPr>
        <w:t>9</w:t>
      </w:r>
      <w:r w:rsidRPr="00E07305">
        <w:rPr>
          <w:bCs/>
        </w:rPr>
        <w:t xml:space="preserve"> below</w:t>
      </w:r>
      <w:r w:rsidR="00D63B83">
        <w:rPr>
          <w:bCs/>
        </w:rPr>
        <w:t>:</w:t>
      </w:r>
    </w:p>
    <w:p w14:paraId="3E8B5471" w14:textId="77777777" w:rsidR="0016463C" w:rsidRDefault="0016463C" w:rsidP="007A5EAC">
      <w:pPr>
        <w:ind w:left="567"/>
        <w:jc w:val="both"/>
        <w:rPr>
          <w:b/>
          <w:u w:val="single"/>
        </w:rPr>
      </w:pPr>
    </w:p>
    <w:p w14:paraId="609F3106" w14:textId="77777777" w:rsidR="008D6DA6" w:rsidRDefault="008D6DA6" w:rsidP="007A5EAC">
      <w:pPr>
        <w:ind w:left="567"/>
        <w:jc w:val="both"/>
        <w:rPr>
          <w:b/>
          <w:u w:val="single"/>
        </w:rPr>
      </w:pPr>
    </w:p>
    <w:p w14:paraId="56289D47" w14:textId="77777777" w:rsidR="008D6DA6" w:rsidRDefault="008D6DA6" w:rsidP="007A5EAC">
      <w:pPr>
        <w:ind w:left="567"/>
        <w:jc w:val="both"/>
        <w:rPr>
          <w:b/>
          <w:u w:val="single"/>
        </w:rPr>
      </w:pPr>
    </w:p>
    <w:p w14:paraId="6F268E6C" w14:textId="77777777" w:rsidR="008D6DA6" w:rsidRDefault="008D6DA6" w:rsidP="007A5EAC">
      <w:pPr>
        <w:ind w:left="567"/>
        <w:jc w:val="both"/>
        <w:rPr>
          <w:b/>
          <w:u w:val="single"/>
        </w:rPr>
      </w:pPr>
    </w:p>
    <w:p w14:paraId="3532B913" w14:textId="77777777" w:rsidR="008D6DA6" w:rsidRDefault="008D6DA6" w:rsidP="007A5EAC">
      <w:pPr>
        <w:ind w:left="567"/>
        <w:jc w:val="both"/>
        <w:rPr>
          <w:b/>
          <w:u w:val="single"/>
        </w:rPr>
      </w:pPr>
    </w:p>
    <w:p w14:paraId="75F2E0B2" w14:textId="77777777" w:rsidR="008D6DA6" w:rsidRDefault="008D6DA6" w:rsidP="007A5EAC">
      <w:pPr>
        <w:ind w:left="567"/>
        <w:jc w:val="both"/>
        <w:rPr>
          <w:b/>
          <w:u w:val="single"/>
        </w:rPr>
      </w:pPr>
    </w:p>
    <w:p w14:paraId="01A301DB" w14:textId="77777777" w:rsidR="008D6DA6" w:rsidRDefault="008D6DA6" w:rsidP="007A5EAC">
      <w:pPr>
        <w:ind w:left="567"/>
        <w:jc w:val="both"/>
        <w:rPr>
          <w:b/>
          <w:u w:val="single"/>
        </w:rPr>
      </w:pPr>
    </w:p>
    <w:p w14:paraId="658AE554" w14:textId="77777777" w:rsidR="008D6DA6" w:rsidRDefault="008D6DA6" w:rsidP="007A5EAC">
      <w:pPr>
        <w:ind w:left="567"/>
        <w:jc w:val="both"/>
        <w:rPr>
          <w:b/>
          <w:u w:val="single"/>
        </w:rPr>
      </w:pPr>
    </w:p>
    <w:p w14:paraId="0543ED2A" w14:textId="041240BD" w:rsidR="00333BD7" w:rsidRDefault="00333BD7" w:rsidP="007A5EAC">
      <w:pPr>
        <w:ind w:left="567"/>
        <w:jc w:val="both"/>
        <w:rPr>
          <w:b/>
          <w:u w:val="single"/>
        </w:rPr>
      </w:pPr>
      <w:r w:rsidRPr="00DA28B8">
        <w:rPr>
          <w:b/>
          <w:u w:val="single"/>
        </w:rPr>
        <w:t xml:space="preserve">Table </w:t>
      </w:r>
      <w:r w:rsidR="00040E4D">
        <w:rPr>
          <w:b/>
          <w:u w:val="single"/>
        </w:rPr>
        <w:t>9</w:t>
      </w:r>
      <w:r w:rsidR="00AC0A97">
        <w:rPr>
          <w:b/>
          <w:u w:val="single"/>
        </w:rPr>
        <w:t>:</w:t>
      </w:r>
      <w:r w:rsidRPr="00DA28B8">
        <w:rPr>
          <w:b/>
          <w:u w:val="single"/>
        </w:rPr>
        <w:t xml:space="preserve"> Contingencies and Earmarked Reserves</w:t>
      </w:r>
    </w:p>
    <w:p w14:paraId="5F47CB00" w14:textId="4B4A36A0" w:rsidR="00333BD7" w:rsidRPr="00DA28B8" w:rsidRDefault="00D04B31" w:rsidP="007A5EAC">
      <w:pPr>
        <w:ind w:left="567"/>
        <w:jc w:val="both"/>
        <w:rPr>
          <w:b/>
          <w:u w:val="single"/>
        </w:rPr>
      </w:pPr>
      <w:r w:rsidRPr="00D04B31">
        <w:rPr>
          <w:noProof/>
          <w:lang w:eastAsia="en-GB"/>
        </w:rPr>
        <w:drawing>
          <wp:inline distT="0" distB="0" distL="0" distR="0" wp14:anchorId="450DEF30" wp14:editId="71E7C859">
            <wp:extent cx="5021579" cy="2453640"/>
            <wp:effectExtent l="0" t="0" r="825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8275" cy="2456912"/>
                    </a:xfrm>
                    <a:prstGeom prst="rect">
                      <a:avLst/>
                    </a:prstGeom>
                    <a:noFill/>
                    <a:ln>
                      <a:noFill/>
                    </a:ln>
                  </pic:spPr>
                </pic:pic>
              </a:graphicData>
            </a:graphic>
          </wp:inline>
        </w:drawing>
      </w:r>
      <w:r w:rsidRPr="00D04B31" w:rsidDel="00D04B31">
        <w:t xml:space="preserve"> </w:t>
      </w:r>
    </w:p>
    <w:p w14:paraId="5E91E998" w14:textId="77777777" w:rsidR="008D6DA6" w:rsidRDefault="008D6DA6" w:rsidP="00BB0A57">
      <w:pPr>
        <w:pStyle w:val="ListParagraph"/>
        <w:spacing w:after="120"/>
        <w:ind w:left="142" w:firstLine="425"/>
        <w:jc w:val="both"/>
        <w:rPr>
          <w:b/>
          <w:bCs/>
        </w:rPr>
      </w:pPr>
    </w:p>
    <w:p w14:paraId="1EBB42EA" w14:textId="77777777" w:rsidR="008D6DA6" w:rsidRDefault="008D6DA6" w:rsidP="00BB0A57">
      <w:pPr>
        <w:pStyle w:val="ListParagraph"/>
        <w:spacing w:after="120"/>
        <w:ind w:left="142" w:firstLine="425"/>
        <w:jc w:val="both"/>
        <w:rPr>
          <w:b/>
          <w:bCs/>
        </w:rPr>
      </w:pPr>
    </w:p>
    <w:p w14:paraId="3BF1419A" w14:textId="34EB6EBE" w:rsidR="00A53BFE" w:rsidRPr="00BB0A57" w:rsidRDefault="00C8529F" w:rsidP="00BB0A57">
      <w:pPr>
        <w:pStyle w:val="ListParagraph"/>
        <w:spacing w:after="120"/>
        <w:ind w:left="142" w:firstLine="425"/>
        <w:jc w:val="both"/>
        <w:rPr>
          <w:b/>
          <w:bCs/>
          <w:u w:val="single"/>
        </w:rPr>
      </w:pPr>
      <w:r w:rsidRPr="00CB1B58">
        <w:rPr>
          <w:b/>
          <w:bCs/>
        </w:rPr>
        <w:t xml:space="preserve">  </w:t>
      </w:r>
      <w:r w:rsidR="00A53BFE" w:rsidRPr="00BB0A57">
        <w:rPr>
          <w:b/>
          <w:bCs/>
          <w:u w:val="single"/>
        </w:rPr>
        <w:t>MTFS IMPLEMENTATION TRACKER</w:t>
      </w:r>
    </w:p>
    <w:p w14:paraId="338DDDA2" w14:textId="791E7927" w:rsidR="000A32C8" w:rsidRDefault="00A53BFE" w:rsidP="00CD735C">
      <w:pPr>
        <w:pStyle w:val="ListParagraph"/>
        <w:numPr>
          <w:ilvl w:val="1"/>
          <w:numId w:val="104"/>
        </w:numPr>
        <w:spacing w:after="120"/>
        <w:ind w:hanging="749"/>
        <w:jc w:val="both"/>
        <w:rPr>
          <w:bCs/>
        </w:rPr>
      </w:pPr>
      <w:r w:rsidRPr="0091766E">
        <w:rPr>
          <w:bCs/>
        </w:rPr>
        <w:t xml:space="preserve">The 2017/18 budget includes approved MTFS savings of £10.242m.  </w:t>
      </w:r>
      <w:r w:rsidR="00386BF3">
        <w:rPr>
          <w:bCs/>
        </w:rPr>
        <w:t xml:space="preserve">  </w:t>
      </w:r>
      <w:r w:rsidRPr="0091766E">
        <w:rPr>
          <w:bCs/>
        </w:rPr>
        <w:t>The progress on impleme</w:t>
      </w:r>
      <w:r w:rsidR="00A23F65" w:rsidRPr="00CB1B58">
        <w:rPr>
          <w:bCs/>
        </w:rPr>
        <w:t xml:space="preserve">ntation is summarised in table </w:t>
      </w:r>
      <w:r w:rsidR="00040E4D" w:rsidRPr="00CB1B58">
        <w:rPr>
          <w:bCs/>
        </w:rPr>
        <w:t>10</w:t>
      </w:r>
      <w:r w:rsidRPr="00CB1B58">
        <w:rPr>
          <w:bCs/>
        </w:rPr>
        <w:t xml:space="preserve"> below and sh</w:t>
      </w:r>
      <w:r w:rsidR="00A23F65" w:rsidRPr="00CB1B58">
        <w:rPr>
          <w:bCs/>
        </w:rPr>
        <w:t>own in more detail in Appendix 2</w:t>
      </w:r>
      <w:r w:rsidRPr="00CB1B58">
        <w:rPr>
          <w:bCs/>
        </w:rPr>
        <w:t>.</w:t>
      </w:r>
    </w:p>
    <w:p w14:paraId="2BDBE986" w14:textId="21C88461" w:rsidR="006550F5" w:rsidRPr="0091766E" w:rsidRDefault="000A32C8" w:rsidP="00CB1B58">
      <w:pPr>
        <w:pStyle w:val="ListParagraph"/>
        <w:numPr>
          <w:ilvl w:val="1"/>
          <w:numId w:val="104"/>
        </w:numPr>
        <w:spacing w:after="120"/>
        <w:ind w:hanging="749"/>
        <w:jc w:val="both"/>
        <w:rPr>
          <w:bCs/>
        </w:rPr>
      </w:pPr>
      <w:r w:rsidRPr="000A32C8">
        <w:rPr>
          <w:bCs/>
        </w:rPr>
        <w:t>As at the end of Quarter 2, 13% of savings have already been banked (blue savings), 71% of savings (green and amber) are on track or partially achieved, with 16% of savings being declared as red</w:t>
      </w:r>
      <w:r>
        <w:rPr>
          <w:bCs/>
        </w:rPr>
        <w:t>.</w:t>
      </w:r>
      <w:r w:rsidR="006550F5" w:rsidRPr="006550F5">
        <w:t xml:space="preserve"> </w:t>
      </w:r>
    </w:p>
    <w:p w14:paraId="0457A83E" w14:textId="77777777" w:rsidR="00BF447F" w:rsidRDefault="00BF447F" w:rsidP="00BB0A57">
      <w:pPr>
        <w:pStyle w:val="ListParagraph"/>
        <w:spacing w:after="120"/>
        <w:ind w:left="709"/>
        <w:jc w:val="both"/>
        <w:rPr>
          <w:b/>
          <w:bCs/>
          <w:u w:val="single"/>
        </w:rPr>
      </w:pPr>
    </w:p>
    <w:p w14:paraId="454E1D13" w14:textId="4B92286F" w:rsidR="003D73B6" w:rsidRPr="00BB0A57" w:rsidRDefault="006550F5" w:rsidP="00BB0A57">
      <w:pPr>
        <w:pStyle w:val="ListParagraph"/>
        <w:spacing w:after="120"/>
        <w:ind w:left="709"/>
        <w:jc w:val="both"/>
        <w:rPr>
          <w:b/>
          <w:bCs/>
          <w:u w:val="single"/>
        </w:rPr>
      </w:pPr>
      <w:r>
        <w:rPr>
          <w:b/>
          <w:bCs/>
          <w:u w:val="single"/>
        </w:rPr>
        <w:t>T</w:t>
      </w:r>
      <w:r w:rsidR="003D73B6" w:rsidRPr="00BB0A57">
        <w:rPr>
          <w:b/>
          <w:bCs/>
          <w:u w:val="single"/>
        </w:rPr>
        <w:t xml:space="preserve">able </w:t>
      </w:r>
      <w:r w:rsidR="00040E4D">
        <w:rPr>
          <w:b/>
          <w:bCs/>
          <w:u w:val="single"/>
        </w:rPr>
        <w:t>10</w:t>
      </w:r>
      <w:r w:rsidR="00D63B83">
        <w:rPr>
          <w:b/>
          <w:bCs/>
          <w:u w:val="single"/>
        </w:rPr>
        <w:t>:</w:t>
      </w:r>
      <w:r w:rsidR="003D73B6" w:rsidRPr="00BB0A57">
        <w:rPr>
          <w:b/>
          <w:bCs/>
          <w:u w:val="single"/>
        </w:rPr>
        <w:t xml:space="preserve"> RAG Rating of 2017/18 Savings</w:t>
      </w:r>
    </w:p>
    <w:p w14:paraId="5D9CE023" w14:textId="41260969" w:rsidR="003D73B6" w:rsidRDefault="00C8529F" w:rsidP="00BB0A57">
      <w:pPr>
        <w:pStyle w:val="ListParagraph"/>
        <w:spacing w:after="120"/>
        <w:ind w:left="709"/>
        <w:jc w:val="both"/>
        <w:rPr>
          <w:bCs/>
        </w:rPr>
      </w:pPr>
      <w:r w:rsidRPr="00C8529F">
        <w:rPr>
          <w:noProof/>
          <w:lang w:eastAsia="en-GB"/>
        </w:rPr>
        <w:drawing>
          <wp:inline distT="0" distB="0" distL="0" distR="0" wp14:anchorId="1AEA7DE1" wp14:editId="74B1AC90">
            <wp:extent cx="5220970" cy="120025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0970" cy="1200256"/>
                    </a:xfrm>
                    <a:prstGeom prst="rect">
                      <a:avLst/>
                    </a:prstGeom>
                    <a:noFill/>
                    <a:ln>
                      <a:noFill/>
                    </a:ln>
                  </pic:spPr>
                </pic:pic>
              </a:graphicData>
            </a:graphic>
          </wp:inline>
        </w:drawing>
      </w:r>
      <w:r w:rsidR="00D04B31" w:rsidRPr="00D04B31" w:rsidDel="00D04B31">
        <w:t xml:space="preserve"> </w:t>
      </w:r>
    </w:p>
    <w:p w14:paraId="1F559764" w14:textId="06F6CFBF" w:rsidR="003D73B6" w:rsidRDefault="003D73B6" w:rsidP="00BB0A57">
      <w:pPr>
        <w:pStyle w:val="ListParagraph"/>
        <w:spacing w:after="120"/>
        <w:ind w:left="709"/>
        <w:jc w:val="both"/>
        <w:rPr>
          <w:bCs/>
        </w:rPr>
      </w:pPr>
      <w:r>
        <w:rPr>
          <w:bCs/>
          <w:noProof/>
          <w:lang w:eastAsia="en-GB"/>
        </w:rPr>
        <w:drawing>
          <wp:inline distT="0" distB="0" distL="0" distR="0" wp14:anchorId="47C4980E" wp14:editId="454F1C20">
            <wp:extent cx="3914140" cy="73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4140" cy="731520"/>
                    </a:xfrm>
                    <a:prstGeom prst="rect">
                      <a:avLst/>
                    </a:prstGeom>
                    <a:noFill/>
                  </pic:spPr>
                </pic:pic>
              </a:graphicData>
            </a:graphic>
          </wp:inline>
        </w:drawing>
      </w:r>
    </w:p>
    <w:p w14:paraId="37166ABA" w14:textId="322F1F7D" w:rsidR="000A1597" w:rsidRPr="00175B00" w:rsidRDefault="00944483" w:rsidP="00CD735C">
      <w:pPr>
        <w:pStyle w:val="ListParagraph"/>
        <w:numPr>
          <w:ilvl w:val="0"/>
          <w:numId w:val="124"/>
        </w:numPr>
        <w:spacing w:after="120"/>
        <w:ind w:left="709" w:hanging="709"/>
        <w:jc w:val="both"/>
        <w:rPr>
          <w:bCs/>
        </w:rPr>
      </w:pPr>
      <w:r w:rsidRPr="00952608">
        <w:rPr>
          <w:bCs/>
        </w:rPr>
        <w:t xml:space="preserve">The following savings that were previously </w:t>
      </w:r>
      <w:r w:rsidR="003E5D77" w:rsidRPr="003E5D77">
        <w:rPr>
          <w:bCs/>
        </w:rPr>
        <w:t>categoris</w:t>
      </w:r>
      <w:r w:rsidR="003E5D77">
        <w:rPr>
          <w:bCs/>
        </w:rPr>
        <w:t>ed</w:t>
      </w:r>
      <w:r w:rsidRPr="00175B00">
        <w:rPr>
          <w:bCs/>
        </w:rPr>
        <w:t xml:space="preserve"> as </w:t>
      </w:r>
      <w:r w:rsidR="00800BFF" w:rsidRPr="00175B00">
        <w:rPr>
          <w:bCs/>
        </w:rPr>
        <w:t>A</w:t>
      </w:r>
      <w:r w:rsidR="00ED4F47" w:rsidRPr="00175B00">
        <w:rPr>
          <w:bCs/>
        </w:rPr>
        <w:t>mber</w:t>
      </w:r>
      <w:r w:rsidRPr="00175B00">
        <w:rPr>
          <w:bCs/>
        </w:rPr>
        <w:t xml:space="preserve"> have now been </w:t>
      </w:r>
      <w:r w:rsidR="00175B00">
        <w:rPr>
          <w:bCs/>
        </w:rPr>
        <w:t xml:space="preserve">re-classified </w:t>
      </w:r>
      <w:r w:rsidRPr="00175B00">
        <w:rPr>
          <w:bCs/>
        </w:rPr>
        <w:t xml:space="preserve"> as detailed below:</w:t>
      </w:r>
      <w:r w:rsidR="00800BFF" w:rsidRPr="00175B00">
        <w:rPr>
          <w:bCs/>
        </w:rPr>
        <w:t xml:space="preserve"> </w:t>
      </w:r>
    </w:p>
    <w:p w14:paraId="32A4ED36" w14:textId="38EAA1C6" w:rsidR="003A4F2F" w:rsidRPr="001101EE" w:rsidRDefault="0026172D" w:rsidP="001101EE">
      <w:pPr>
        <w:pStyle w:val="ListParagraph"/>
        <w:numPr>
          <w:ilvl w:val="0"/>
          <w:numId w:val="111"/>
        </w:numPr>
        <w:spacing w:after="120"/>
        <w:ind w:left="1418"/>
        <w:jc w:val="both"/>
        <w:rPr>
          <w:bCs/>
        </w:rPr>
      </w:pPr>
      <w:r w:rsidRPr="001101EE">
        <w:rPr>
          <w:bCs/>
        </w:rPr>
        <w:t xml:space="preserve">Extension of property purchase </w:t>
      </w:r>
      <w:r w:rsidR="000F5D6F" w:rsidRPr="001101EE">
        <w:rPr>
          <w:bCs/>
        </w:rPr>
        <w:t>initiative (COM_G05.3)</w:t>
      </w:r>
      <w:r w:rsidR="000A1597" w:rsidRPr="001101EE">
        <w:rPr>
          <w:bCs/>
        </w:rPr>
        <w:t xml:space="preserve"> </w:t>
      </w:r>
      <w:r w:rsidRPr="001101EE">
        <w:rPr>
          <w:bCs/>
        </w:rPr>
        <w:t xml:space="preserve">saving of </w:t>
      </w:r>
      <w:r w:rsidR="00CF0653" w:rsidRPr="001101EE">
        <w:rPr>
          <w:bCs/>
        </w:rPr>
        <w:t>(</w:t>
      </w:r>
      <w:r w:rsidRPr="001101EE">
        <w:rPr>
          <w:bCs/>
        </w:rPr>
        <w:t>£254k</w:t>
      </w:r>
      <w:proofErr w:type="gramStart"/>
      <w:r w:rsidR="00CF0653" w:rsidRPr="001101EE">
        <w:rPr>
          <w:bCs/>
        </w:rPr>
        <w:t>)</w:t>
      </w:r>
      <w:r w:rsidRPr="001101EE">
        <w:rPr>
          <w:bCs/>
        </w:rPr>
        <w:t xml:space="preserve"> </w:t>
      </w:r>
      <w:r w:rsidR="00800BFF" w:rsidRPr="001101EE">
        <w:rPr>
          <w:bCs/>
        </w:rPr>
        <w:t xml:space="preserve"> </w:t>
      </w:r>
      <w:r w:rsidR="00944483" w:rsidRPr="001101EE">
        <w:rPr>
          <w:bCs/>
        </w:rPr>
        <w:t>is</w:t>
      </w:r>
      <w:proofErr w:type="gramEnd"/>
      <w:r w:rsidR="00944483" w:rsidRPr="001101EE">
        <w:rPr>
          <w:bCs/>
        </w:rPr>
        <w:t xml:space="preserve"> now</w:t>
      </w:r>
      <w:r w:rsidR="000A1597" w:rsidRPr="001101EE">
        <w:rPr>
          <w:bCs/>
        </w:rPr>
        <w:t xml:space="preserve"> classif</w:t>
      </w:r>
      <w:r w:rsidR="003E5D77" w:rsidRPr="001101EE">
        <w:rPr>
          <w:bCs/>
        </w:rPr>
        <w:t>ied</w:t>
      </w:r>
      <w:r w:rsidR="000A1597" w:rsidRPr="001101EE">
        <w:rPr>
          <w:bCs/>
        </w:rPr>
        <w:t xml:space="preserve"> as </w:t>
      </w:r>
      <w:r w:rsidR="00800BFF" w:rsidRPr="001101EE">
        <w:rPr>
          <w:bCs/>
        </w:rPr>
        <w:t>red</w:t>
      </w:r>
      <w:r w:rsidR="003A4F2F" w:rsidRPr="001101EE">
        <w:rPr>
          <w:bCs/>
        </w:rPr>
        <w:t xml:space="preserve"> due to a delay in the capital programme. </w:t>
      </w:r>
    </w:p>
    <w:p w14:paraId="1AD6547D" w14:textId="26CC833D" w:rsidR="0026172D" w:rsidRPr="00952608" w:rsidRDefault="00CF0653" w:rsidP="000A1597">
      <w:pPr>
        <w:pStyle w:val="ListParagraph"/>
        <w:numPr>
          <w:ilvl w:val="0"/>
          <w:numId w:val="90"/>
        </w:numPr>
        <w:spacing w:after="120"/>
        <w:jc w:val="both"/>
        <w:rPr>
          <w:bCs/>
        </w:rPr>
      </w:pPr>
      <w:r w:rsidRPr="00952608">
        <w:rPr>
          <w:bCs/>
        </w:rPr>
        <w:t xml:space="preserve">Supporting </w:t>
      </w:r>
      <w:r w:rsidR="00ED4F47" w:rsidRPr="00952608">
        <w:rPr>
          <w:bCs/>
        </w:rPr>
        <w:t>P</w:t>
      </w:r>
      <w:r w:rsidRPr="00952608">
        <w:rPr>
          <w:bCs/>
        </w:rPr>
        <w:t xml:space="preserve">eople </w:t>
      </w:r>
      <w:r w:rsidR="007A30FA" w:rsidRPr="00952608">
        <w:rPr>
          <w:bCs/>
        </w:rPr>
        <w:t xml:space="preserve">saving </w:t>
      </w:r>
      <w:r w:rsidRPr="00952608">
        <w:rPr>
          <w:bCs/>
        </w:rPr>
        <w:t xml:space="preserve">of </w:t>
      </w:r>
      <w:r w:rsidR="00C57A0D" w:rsidRPr="00952608">
        <w:rPr>
          <w:bCs/>
        </w:rPr>
        <w:t>(</w:t>
      </w:r>
      <w:r w:rsidRPr="00952608">
        <w:rPr>
          <w:bCs/>
        </w:rPr>
        <w:t>£25k</w:t>
      </w:r>
      <w:r w:rsidR="00C57A0D" w:rsidRPr="00952608">
        <w:rPr>
          <w:bCs/>
        </w:rPr>
        <w:t>)</w:t>
      </w:r>
      <w:r w:rsidRPr="00952608">
        <w:rPr>
          <w:bCs/>
        </w:rPr>
        <w:t xml:space="preserve"> </w:t>
      </w:r>
      <w:r w:rsidR="000A1597" w:rsidRPr="00952608">
        <w:rPr>
          <w:bCs/>
        </w:rPr>
        <w:t xml:space="preserve">with reference number CH_3 will </w:t>
      </w:r>
      <w:r w:rsidR="007A30FA" w:rsidRPr="00952608">
        <w:rPr>
          <w:bCs/>
        </w:rPr>
        <w:t xml:space="preserve">now </w:t>
      </w:r>
      <w:r w:rsidR="00952608" w:rsidRPr="00952608">
        <w:rPr>
          <w:bCs/>
        </w:rPr>
        <w:t>be</w:t>
      </w:r>
      <w:r w:rsidR="00952608">
        <w:rPr>
          <w:bCs/>
        </w:rPr>
        <w:t xml:space="preserve"> </w:t>
      </w:r>
      <w:r w:rsidR="00952608" w:rsidRPr="00952608">
        <w:rPr>
          <w:bCs/>
        </w:rPr>
        <w:t>achieve</w:t>
      </w:r>
      <w:r w:rsidR="003A4F2F">
        <w:rPr>
          <w:bCs/>
        </w:rPr>
        <w:t>d</w:t>
      </w:r>
      <w:r w:rsidR="000A1597" w:rsidRPr="00952608">
        <w:rPr>
          <w:bCs/>
        </w:rPr>
        <w:t xml:space="preserve"> </w:t>
      </w:r>
      <w:r w:rsidR="007A30FA" w:rsidRPr="00952608">
        <w:rPr>
          <w:bCs/>
        </w:rPr>
        <w:t>through capitalisation</w:t>
      </w:r>
      <w:r w:rsidR="003A4F2F">
        <w:rPr>
          <w:bCs/>
        </w:rPr>
        <w:t xml:space="preserve"> and is therefore reclassified as green.</w:t>
      </w:r>
    </w:p>
    <w:p w14:paraId="275EDC9D" w14:textId="77777777" w:rsidR="00952608" w:rsidRPr="00952608" w:rsidRDefault="00952608" w:rsidP="00952608">
      <w:pPr>
        <w:pStyle w:val="ListParagraph"/>
        <w:ind w:left="1429"/>
        <w:rPr>
          <w:bCs/>
        </w:rPr>
      </w:pPr>
    </w:p>
    <w:p w14:paraId="7D42399D" w14:textId="249FB02A" w:rsidR="00952608" w:rsidRDefault="003A4F2F" w:rsidP="00B047D0">
      <w:pPr>
        <w:pStyle w:val="ListParagraph"/>
        <w:numPr>
          <w:ilvl w:val="0"/>
          <w:numId w:val="121"/>
        </w:numPr>
        <w:spacing w:after="120"/>
        <w:ind w:left="709" w:hanging="709"/>
        <w:jc w:val="both"/>
        <w:rPr>
          <w:bCs/>
        </w:rPr>
      </w:pPr>
      <w:proofErr w:type="spellStart"/>
      <w:r>
        <w:rPr>
          <w:bCs/>
        </w:rPr>
        <w:t>Wisework</w:t>
      </w:r>
      <w:proofErr w:type="spellEnd"/>
      <w:r>
        <w:rPr>
          <w:bCs/>
        </w:rPr>
        <w:t xml:space="preserve"> saving of £69k (PA_3) will be amber because of the risk associate with </w:t>
      </w:r>
      <w:r w:rsidR="008B3969">
        <w:rPr>
          <w:bCs/>
        </w:rPr>
        <w:t xml:space="preserve">this </w:t>
      </w:r>
      <w:proofErr w:type="gramStart"/>
      <w:r w:rsidR="008B3969">
        <w:rPr>
          <w:bCs/>
        </w:rPr>
        <w:t>saving,</w:t>
      </w:r>
      <w:proofErr w:type="gramEnd"/>
      <w:r w:rsidR="008B3969">
        <w:rPr>
          <w:bCs/>
        </w:rPr>
        <w:t xml:space="preserve"> it</w:t>
      </w:r>
      <w:r>
        <w:rPr>
          <w:bCs/>
        </w:rPr>
        <w:t xml:space="preserve"> was originally classified as green.</w:t>
      </w:r>
    </w:p>
    <w:p w14:paraId="6BF18B98" w14:textId="77777777" w:rsidR="00952608" w:rsidRPr="00952608" w:rsidRDefault="00952608" w:rsidP="001101EE">
      <w:pPr>
        <w:pStyle w:val="ListParagraph"/>
        <w:spacing w:after="120"/>
        <w:ind w:left="709"/>
        <w:jc w:val="both"/>
        <w:rPr>
          <w:bCs/>
        </w:rPr>
      </w:pPr>
    </w:p>
    <w:p w14:paraId="5A2E1F68" w14:textId="54B9D2AB" w:rsidR="00014135" w:rsidRDefault="00014135" w:rsidP="001101EE">
      <w:pPr>
        <w:pStyle w:val="ListParagraph"/>
        <w:spacing w:after="120"/>
        <w:ind w:left="709"/>
        <w:jc w:val="both"/>
        <w:rPr>
          <w:b/>
          <w:bCs/>
          <w:i/>
          <w:u w:val="single"/>
        </w:rPr>
      </w:pPr>
      <w:r w:rsidRPr="00CB1B58">
        <w:rPr>
          <w:b/>
          <w:bCs/>
          <w:i/>
          <w:u w:val="single"/>
        </w:rPr>
        <w:t>Debt Write-off</w:t>
      </w:r>
    </w:p>
    <w:p w14:paraId="13EEB093" w14:textId="41B4D7DA" w:rsidR="00014135" w:rsidRPr="0091766E" w:rsidRDefault="00014135" w:rsidP="00CD735C">
      <w:pPr>
        <w:pStyle w:val="ListParagraph"/>
        <w:numPr>
          <w:ilvl w:val="0"/>
          <w:numId w:val="126"/>
        </w:numPr>
        <w:spacing w:after="120"/>
        <w:ind w:left="709" w:hanging="709"/>
        <w:jc w:val="both"/>
        <w:rPr>
          <w:bCs/>
        </w:rPr>
      </w:pPr>
      <w:r w:rsidRPr="00CB1B58">
        <w:rPr>
          <w:bCs/>
          <w:iCs/>
        </w:rPr>
        <w:t xml:space="preserve">Following a review of its debts, the Housing Service has identified amounts in the Housing Revenue Account totalling £37k which </w:t>
      </w:r>
      <w:proofErr w:type="gramStart"/>
      <w:r w:rsidRPr="00CB1B58">
        <w:rPr>
          <w:bCs/>
          <w:iCs/>
        </w:rPr>
        <w:t>are</w:t>
      </w:r>
      <w:proofErr w:type="gramEnd"/>
      <w:r w:rsidRPr="00CB1B58">
        <w:rPr>
          <w:bCs/>
          <w:iCs/>
        </w:rPr>
        <w:t xml:space="preserve"> no longer considered recoverable, £15k of which relates to deceased tenants, with remainder due to tenants not traceable following exhaustion of all approved channels and uneconomical to pursue. These debts have already been provided for and represent no additional charge to HRA balances. In line with Council’s debt management policy, it is recommended Cabinet approves the write off of this amount.</w:t>
      </w:r>
    </w:p>
    <w:p w14:paraId="076F6722" w14:textId="77777777" w:rsidR="00C26AEB" w:rsidRDefault="00C26AEB" w:rsidP="002A05F4">
      <w:pPr>
        <w:pStyle w:val="ListParagraph"/>
        <w:spacing w:after="120"/>
        <w:ind w:left="709"/>
        <w:jc w:val="both"/>
        <w:rPr>
          <w:bCs/>
        </w:rPr>
      </w:pPr>
    </w:p>
    <w:p w14:paraId="12DD9E4C" w14:textId="77777777" w:rsidR="00AE4D79" w:rsidRPr="00AE4D79" w:rsidRDefault="00AE4D79" w:rsidP="00AE4D79">
      <w:pPr>
        <w:spacing w:after="120"/>
        <w:jc w:val="both"/>
        <w:rPr>
          <w:b/>
          <w:bCs/>
          <w:sz w:val="28"/>
          <w:szCs w:val="28"/>
        </w:rPr>
      </w:pPr>
    </w:p>
    <w:p w14:paraId="22BCF9C8" w14:textId="77777777" w:rsidR="003D73B6" w:rsidRPr="000370A6" w:rsidRDefault="003D73B6" w:rsidP="002311FF">
      <w:pPr>
        <w:pStyle w:val="ListParagraph"/>
        <w:numPr>
          <w:ilvl w:val="0"/>
          <w:numId w:val="31"/>
        </w:numPr>
        <w:tabs>
          <w:tab w:val="left" w:pos="142"/>
        </w:tabs>
        <w:spacing w:after="120"/>
        <w:ind w:left="709" w:hanging="850"/>
        <w:jc w:val="both"/>
        <w:rPr>
          <w:b/>
          <w:bCs/>
          <w:sz w:val="28"/>
          <w:szCs w:val="28"/>
        </w:rPr>
      </w:pPr>
      <w:r w:rsidRPr="000370A6">
        <w:rPr>
          <w:b/>
          <w:bCs/>
          <w:sz w:val="28"/>
          <w:szCs w:val="28"/>
        </w:rPr>
        <w:t>CAPITAL PROGRAMME</w:t>
      </w:r>
    </w:p>
    <w:p w14:paraId="2EDA0CEF" w14:textId="7B4258C4" w:rsidR="008C006C" w:rsidRPr="000370A6" w:rsidRDefault="003D73B6" w:rsidP="00BB0A57">
      <w:pPr>
        <w:autoSpaceDE w:val="0"/>
        <w:autoSpaceDN w:val="0"/>
        <w:adjustRightInd w:val="0"/>
        <w:spacing w:after="240"/>
        <w:ind w:firstLine="709"/>
        <w:jc w:val="both"/>
        <w:rPr>
          <w:b/>
          <w:bCs/>
        </w:rPr>
      </w:pPr>
      <w:r w:rsidRPr="000370A6">
        <w:rPr>
          <w:b/>
          <w:u w:val="single"/>
        </w:rPr>
        <w:t xml:space="preserve">Capital Programme Forecast at Quarter </w:t>
      </w:r>
      <w:r w:rsidR="000370A6" w:rsidRPr="00CB1B58">
        <w:rPr>
          <w:b/>
          <w:u w:val="single"/>
        </w:rPr>
        <w:t>2</w:t>
      </w:r>
    </w:p>
    <w:p w14:paraId="79DBF693" w14:textId="18B20FBC" w:rsidR="0077788D" w:rsidRPr="000370A6" w:rsidRDefault="008B10C1" w:rsidP="00BB0A57">
      <w:pPr>
        <w:pStyle w:val="ListParagraph"/>
        <w:numPr>
          <w:ilvl w:val="0"/>
          <w:numId w:val="30"/>
        </w:numPr>
        <w:spacing w:after="120"/>
        <w:ind w:left="709" w:hanging="709"/>
        <w:jc w:val="both"/>
        <w:rPr>
          <w:bCs/>
        </w:rPr>
      </w:pPr>
      <w:r w:rsidRPr="008B10C1">
        <w:rPr>
          <w:bCs/>
        </w:rPr>
        <w:t xml:space="preserve">The 2017/18 capital programme agreed by Council in February 2017 totalled £143.863m.  After allowing for agreed slippage of £76.691m from 2016/17 outturn and other approved amendments, the programme now </w:t>
      </w:r>
      <w:r>
        <w:rPr>
          <w:bCs/>
        </w:rPr>
        <w:t>totals £198.231</w:t>
      </w:r>
      <w:r w:rsidRPr="008B10C1">
        <w:rPr>
          <w:bCs/>
        </w:rPr>
        <w:t xml:space="preserve">m at </w:t>
      </w:r>
      <w:r>
        <w:rPr>
          <w:bCs/>
        </w:rPr>
        <w:t>Quarter2.</w:t>
      </w:r>
    </w:p>
    <w:p w14:paraId="4A819E2D" w14:textId="3B958BFC" w:rsidR="0008415C" w:rsidRPr="000370A6" w:rsidRDefault="0008415C" w:rsidP="00BB0A57">
      <w:pPr>
        <w:pStyle w:val="ListParagraph"/>
        <w:numPr>
          <w:ilvl w:val="0"/>
          <w:numId w:val="30"/>
        </w:numPr>
        <w:spacing w:after="120"/>
        <w:ind w:left="709" w:hanging="709"/>
        <w:jc w:val="both"/>
        <w:rPr>
          <w:bCs/>
        </w:rPr>
      </w:pPr>
      <w:r w:rsidRPr="000370A6">
        <w:rPr>
          <w:bCs/>
        </w:rPr>
        <w:t xml:space="preserve">The forecast spend at Quarter </w:t>
      </w:r>
      <w:r w:rsidR="00C8343F">
        <w:rPr>
          <w:bCs/>
        </w:rPr>
        <w:t>2</w:t>
      </w:r>
      <w:r w:rsidRPr="000370A6">
        <w:rPr>
          <w:bCs/>
        </w:rPr>
        <w:t xml:space="preserve"> is £1</w:t>
      </w:r>
      <w:r w:rsidR="00700A45">
        <w:rPr>
          <w:bCs/>
        </w:rPr>
        <w:t>64.487</w:t>
      </w:r>
      <w:r w:rsidRPr="000370A6">
        <w:rPr>
          <w:bCs/>
        </w:rPr>
        <w:t xml:space="preserve">m, </w:t>
      </w:r>
      <w:r w:rsidR="00C8343F">
        <w:rPr>
          <w:bCs/>
        </w:rPr>
        <w:t>83</w:t>
      </w:r>
      <w:r w:rsidRPr="000370A6">
        <w:rPr>
          <w:bCs/>
        </w:rPr>
        <w:t>% of the total capital programme.</w:t>
      </w:r>
    </w:p>
    <w:p w14:paraId="6CD124A3" w14:textId="38DD1F81" w:rsidR="00700A45" w:rsidRDefault="0008415C">
      <w:pPr>
        <w:pStyle w:val="ListParagraph"/>
        <w:numPr>
          <w:ilvl w:val="0"/>
          <w:numId w:val="30"/>
        </w:numPr>
        <w:spacing w:after="120"/>
        <w:ind w:left="709" w:hanging="709"/>
        <w:jc w:val="both"/>
        <w:rPr>
          <w:bCs/>
        </w:rPr>
      </w:pPr>
      <w:r w:rsidRPr="00700A45">
        <w:rPr>
          <w:bCs/>
        </w:rPr>
        <w:t xml:space="preserve">The forecast variance on </w:t>
      </w:r>
      <w:r w:rsidR="00503705" w:rsidRPr="00700A45">
        <w:rPr>
          <w:bCs/>
        </w:rPr>
        <w:t>the General Fund at Quarter</w:t>
      </w:r>
      <w:r w:rsidRPr="00700A45">
        <w:rPr>
          <w:bCs/>
        </w:rPr>
        <w:t xml:space="preserve"> </w:t>
      </w:r>
      <w:r w:rsidR="00C8343F" w:rsidRPr="00700A45">
        <w:rPr>
          <w:bCs/>
        </w:rPr>
        <w:t>2</w:t>
      </w:r>
      <w:r w:rsidRPr="00700A45">
        <w:rPr>
          <w:bCs/>
        </w:rPr>
        <w:t xml:space="preserve"> is </w:t>
      </w:r>
      <w:proofErr w:type="gramStart"/>
      <w:r w:rsidRPr="00700A45">
        <w:rPr>
          <w:bCs/>
        </w:rPr>
        <w:t>an underspend</w:t>
      </w:r>
      <w:proofErr w:type="gramEnd"/>
      <w:r w:rsidRPr="00700A45">
        <w:rPr>
          <w:bCs/>
        </w:rPr>
        <w:t xml:space="preserve"> of </w:t>
      </w:r>
      <w:r w:rsidR="00894D7D">
        <w:rPr>
          <w:bCs/>
        </w:rPr>
        <w:t>(</w:t>
      </w:r>
      <w:r w:rsidRPr="00700A45">
        <w:rPr>
          <w:bCs/>
        </w:rPr>
        <w:t>£</w:t>
      </w:r>
      <w:r w:rsidR="008B10C1" w:rsidRPr="00700A45">
        <w:rPr>
          <w:bCs/>
        </w:rPr>
        <w:t>1</w:t>
      </w:r>
      <w:r w:rsidR="00700A45">
        <w:rPr>
          <w:bCs/>
        </w:rPr>
        <w:t>7.17</w:t>
      </w:r>
      <w:r w:rsidR="00894D7D">
        <w:rPr>
          <w:bCs/>
        </w:rPr>
        <w:t>3</w:t>
      </w:r>
      <w:r w:rsidR="0042378A" w:rsidRPr="00700A45">
        <w:rPr>
          <w:bCs/>
        </w:rPr>
        <w:t>m</w:t>
      </w:r>
      <w:r w:rsidR="00894D7D">
        <w:rPr>
          <w:bCs/>
        </w:rPr>
        <w:t>)</w:t>
      </w:r>
      <w:r w:rsidR="0042378A" w:rsidRPr="00700A45">
        <w:rPr>
          <w:bCs/>
        </w:rPr>
        <w:t xml:space="preserve"> (</w:t>
      </w:r>
      <w:r w:rsidR="00700A45">
        <w:rPr>
          <w:bCs/>
        </w:rPr>
        <w:t>10</w:t>
      </w:r>
      <w:r w:rsidRPr="00700A45">
        <w:rPr>
          <w:bCs/>
        </w:rPr>
        <w:t xml:space="preserve">%) of </w:t>
      </w:r>
      <w:r w:rsidR="00E751D2" w:rsidRPr="00700A45">
        <w:rPr>
          <w:bCs/>
        </w:rPr>
        <w:t>which £</w:t>
      </w:r>
      <w:r w:rsidR="00700A45">
        <w:rPr>
          <w:bCs/>
        </w:rPr>
        <w:t>17.07</w:t>
      </w:r>
      <w:r w:rsidR="003F6C22">
        <w:rPr>
          <w:bCs/>
        </w:rPr>
        <w:t>0</w:t>
      </w:r>
      <w:r w:rsidRPr="00700A45">
        <w:rPr>
          <w:bCs/>
        </w:rPr>
        <w:t xml:space="preserve">m is requested for slippage into </w:t>
      </w:r>
      <w:r w:rsidR="00BE7660" w:rsidRPr="00700A45">
        <w:rPr>
          <w:bCs/>
        </w:rPr>
        <w:t>20</w:t>
      </w:r>
      <w:r w:rsidRPr="00700A45">
        <w:rPr>
          <w:bCs/>
        </w:rPr>
        <w:t>18/19</w:t>
      </w:r>
      <w:r w:rsidR="006C2029" w:rsidRPr="00700A45">
        <w:rPr>
          <w:bCs/>
        </w:rPr>
        <w:t>,</w:t>
      </w:r>
      <w:r w:rsidR="00700016" w:rsidRPr="00CB1B58">
        <w:t xml:space="preserve"> </w:t>
      </w:r>
      <w:r w:rsidR="00700016" w:rsidRPr="00700A45">
        <w:rPr>
          <w:bCs/>
        </w:rPr>
        <w:t>and</w:t>
      </w:r>
      <w:r w:rsidR="00700A45" w:rsidRPr="00700A45">
        <w:rPr>
          <w:bCs/>
        </w:rPr>
        <w:t xml:space="preserve"> </w:t>
      </w:r>
      <w:r w:rsidR="0016463C">
        <w:rPr>
          <w:bCs/>
        </w:rPr>
        <w:t>(</w:t>
      </w:r>
      <w:r w:rsidR="00700A45" w:rsidRPr="00700A45">
        <w:rPr>
          <w:bCs/>
        </w:rPr>
        <w:t>£0.103m</w:t>
      </w:r>
      <w:r w:rsidR="0016463C">
        <w:rPr>
          <w:bCs/>
        </w:rPr>
        <w:t>)</w:t>
      </w:r>
      <w:r w:rsidR="00700A45" w:rsidRPr="00700A45">
        <w:rPr>
          <w:bCs/>
        </w:rPr>
        <w:t xml:space="preserve"> can be removed from the Capital Programme.</w:t>
      </w:r>
    </w:p>
    <w:p w14:paraId="4288A4DA" w14:textId="251F2C57" w:rsidR="0008415C" w:rsidRPr="00700A45" w:rsidRDefault="0008415C">
      <w:pPr>
        <w:pStyle w:val="ListParagraph"/>
        <w:numPr>
          <w:ilvl w:val="0"/>
          <w:numId w:val="30"/>
        </w:numPr>
        <w:spacing w:after="120"/>
        <w:ind w:left="709" w:hanging="709"/>
        <w:jc w:val="both"/>
        <w:rPr>
          <w:bCs/>
        </w:rPr>
      </w:pPr>
      <w:r w:rsidRPr="00700A45">
        <w:rPr>
          <w:bCs/>
        </w:rPr>
        <w:t>The forecast variance on the H</w:t>
      </w:r>
      <w:r w:rsidR="006C2029" w:rsidRPr="00700A45">
        <w:rPr>
          <w:bCs/>
        </w:rPr>
        <w:t xml:space="preserve">ousing </w:t>
      </w:r>
      <w:r w:rsidRPr="00700A45">
        <w:rPr>
          <w:bCs/>
        </w:rPr>
        <w:t>R</w:t>
      </w:r>
      <w:r w:rsidR="006C2029" w:rsidRPr="00700A45">
        <w:rPr>
          <w:bCs/>
        </w:rPr>
        <w:t xml:space="preserve">evenue </w:t>
      </w:r>
      <w:r w:rsidRPr="00700A45">
        <w:rPr>
          <w:bCs/>
        </w:rPr>
        <w:t>A</w:t>
      </w:r>
      <w:r w:rsidR="006C2029" w:rsidRPr="00700A45">
        <w:rPr>
          <w:bCs/>
        </w:rPr>
        <w:t>ccount</w:t>
      </w:r>
      <w:r w:rsidRPr="00700A45">
        <w:rPr>
          <w:bCs/>
        </w:rPr>
        <w:t xml:space="preserve"> </w:t>
      </w:r>
      <w:r w:rsidR="00E751D2" w:rsidRPr="00700A45">
        <w:rPr>
          <w:bCs/>
        </w:rPr>
        <w:t xml:space="preserve">budget of £32.457m at Quarter </w:t>
      </w:r>
      <w:r w:rsidR="0016463C">
        <w:rPr>
          <w:bCs/>
        </w:rPr>
        <w:t>2</w:t>
      </w:r>
      <w:r w:rsidR="00E751D2" w:rsidRPr="00700A45">
        <w:rPr>
          <w:bCs/>
        </w:rPr>
        <w:t xml:space="preserve"> is </w:t>
      </w:r>
      <w:proofErr w:type="gramStart"/>
      <w:r w:rsidR="00131454">
        <w:rPr>
          <w:bCs/>
        </w:rPr>
        <w:t>an underspend</w:t>
      </w:r>
      <w:proofErr w:type="gramEnd"/>
      <w:r w:rsidR="00131454">
        <w:rPr>
          <w:bCs/>
        </w:rPr>
        <w:t xml:space="preserve"> of (</w:t>
      </w:r>
      <w:r w:rsidR="00E751D2" w:rsidRPr="00700A45">
        <w:rPr>
          <w:bCs/>
        </w:rPr>
        <w:t>£</w:t>
      </w:r>
      <w:r w:rsidR="0042378A" w:rsidRPr="00700A45">
        <w:rPr>
          <w:bCs/>
        </w:rPr>
        <w:t>1</w:t>
      </w:r>
      <w:r w:rsidR="00700016" w:rsidRPr="00CB1B58">
        <w:rPr>
          <w:bCs/>
        </w:rPr>
        <w:t>6.5</w:t>
      </w:r>
      <w:r w:rsidR="00894D7D">
        <w:rPr>
          <w:bCs/>
        </w:rPr>
        <w:t>70</w:t>
      </w:r>
      <w:r w:rsidR="00E751D2" w:rsidRPr="00700A45">
        <w:rPr>
          <w:bCs/>
        </w:rPr>
        <w:t>m</w:t>
      </w:r>
      <w:r w:rsidR="00131454">
        <w:rPr>
          <w:bCs/>
        </w:rPr>
        <w:t>)</w:t>
      </w:r>
      <w:r w:rsidR="00700016" w:rsidRPr="00CB1B58">
        <w:rPr>
          <w:bCs/>
        </w:rPr>
        <w:t xml:space="preserve">, of which £14.606m is requested for slippage into 2018/19 and </w:t>
      </w:r>
      <w:r w:rsidR="00894D7D">
        <w:rPr>
          <w:bCs/>
        </w:rPr>
        <w:t>(</w:t>
      </w:r>
      <w:r w:rsidR="00700016" w:rsidRPr="00CB1B58">
        <w:rPr>
          <w:bCs/>
        </w:rPr>
        <w:t>£1.964m</w:t>
      </w:r>
      <w:r w:rsidR="00131454">
        <w:rPr>
          <w:bCs/>
        </w:rPr>
        <w:t>)</w:t>
      </w:r>
      <w:r w:rsidR="00700016" w:rsidRPr="00CB1B58">
        <w:rPr>
          <w:bCs/>
        </w:rPr>
        <w:t xml:space="preserve"> can be removed from the Capital Programme.</w:t>
      </w:r>
      <w:r w:rsidR="00E751D2" w:rsidRPr="00700A45">
        <w:rPr>
          <w:bCs/>
        </w:rPr>
        <w:t xml:space="preserve"> </w:t>
      </w:r>
    </w:p>
    <w:p w14:paraId="6C259324" w14:textId="4B9E9EA6" w:rsidR="00E751D2" w:rsidRPr="00700016" w:rsidRDefault="00503705" w:rsidP="00BB0A57">
      <w:pPr>
        <w:pStyle w:val="ListParagraph"/>
        <w:numPr>
          <w:ilvl w:val="0"/>
          <w:numId w:val="30"/>
        </w:numPr>
        <w:spacing w:after="120"/>
        <w:ind w:left="709" w:hanging="709"/>
        <w:jc w:val="both"/>
        <w:rPr>
          <w:bCs/>
        </w:rPr>
      </w:pPr>
      <w:r w:rsidRPr="00700016">
        <w:rPr>
          <w:bCs/>
        </w:rPr>
        <w:t>Tables 10 and 11</w:t>
      </w:r>
      <w:r w:rsidR="00E751D2" w:rsidRPr="00700016">
        <w:rPr>
          <w:bCs/>
        </w:rPr>
        <w:t xml:space="preserve"> below summarise the capital forecast position and Appendix 4 shows the capital programme in more detail</w:t>
      </w:r>
      <w:r w:rsidR="0042378A" w:rsidRPr="00700016">
        <w:rPr>
          <w:bCs/>
        </w:rPr>
        <w:t>.</w:t>
      </w:r>
    </w:p>
    <w:p w14:paraId="6E830532" w14:textId="77777777" w:rsidR="00014135" w:rsidRDefault="00014135" w:rsidP="00BB0A57">
      <w:pPr>
        <w:spacing w:after="120"/>
        <w:jc w:val="both"/>
        <w:rPr>
          <w:b/>
          <w:bCs/>
          <w:u w:val="single"/>
        </w:rPr>
      </w:pPr>
    </w:p>
    <w:p w14:paraId="6FB28FFE" w14:textId="77777777" w:rsidR="00746A92" w:rsidRDefault="00746A92" w:rsidP="00BB0A57">
      <w:pPr>
        <w:spacing w:after="120"/>
        <w:jc w:val="both"/>
        <w:rPr>
          <w:b/>
          <w:bCs/>
          <w:u w:val="single"/>
        </w:rPr>
      </w:pPr>
    </w:p>
    <w:p w14:paraId="304B07F9" w14:textId="77777777" w:rsidR="00746A92" w:rsidRDefault="00746A92" w:rsidP="00BB0A57">
      <w:pPr>
        <w:spacing w:after="120"/>
        <w:jc w:val="both"/>
        <w:rPr>
          <w:b/>
          <w:bCs/>
          <w:u w:val="single"/>
        </w:rPr>
      </w:pPr>
    </w:p>
    <w:p w14:paraId="497DA94F" w14:textId="77777777" w:rsidR="00746A92" w:rsidRDefault="00746A92" w:rsidP="00BB0A57">
      <w:pPr>
        <w:spacing w:after="120"/>
        <w:jc w:val="both"/>
        <w:rPr>
          <w:b/>
          <w:bCs/>
          <w:u w:val="single"/>
        </w:rPr>
      </w:pPr>
    </w:p>
    <w:p w14:paraId="74D50AF8" w14:textId="77777777" w:rsidR="00746A92" w:rsidRDefault="00746A92" w:rsidP="00BB0A57">
      <w:pPr>
        <w:spacing w:after="120"/>
        <w:jc w:val="both"/>
        <w:rPr>
          <w:b/>
          <w:bCs/>
          <w:u w:val="single"/>
        </w:rPr>
      </w:pPr>
    </w:p>
    <w:p w14:paraId="2C12D30B" w14:textId="77777777" w:rsidR="00746A92" w:rsidRDefault="00746A92" w:rsidP="00BB0A57">
      <w:pPr>
        <w:spacing w:after="120"/>
        <w:jc w:val="both"/>
        <w:rPr>
          <w:b/>
          <w:bCs/>
          <w:u w:val="single"/>
        </w:rPr>
      </w:pPr>
    </w:p>
    <w:p w14:paraId="693705B7" w14:textId="77777777" w:rsidR="00746A92" w:rsidRDefault="00746A92" w:rsidP="00BB0A57">
      <w:pPr>
        <w:spacing w:after="120"/>
        <w:jc w:val="both"/>
        <w:rPr>
          <w:b/>
          <w:bCs/>
          <w:u w:val="single"/>
        </w:rPr>
      </w:pPr>
    </w:p>
    <w:p w14:paraId="7EE32A93" w14:textId="77777777" w:rsidR="00746A92" w:rsidRDefault="00746A92" w:rsidP="00BB0A57">
      <w:pPr>
        <w:spacing w:after="120"/>
        <w:jc w:val="both"/>
        <w:rPr>
          <w:b/>
          <w:bCs/>
          <w:u w:val="single"/>
        </w:rPr>
      </w:pPr>
    </w:p>
    <w:p w14:paraId="6BE53539" w14:textId="77777777" w:rsidR="00746A92" w:rsidRDefault="00746A92" w:rsidP="00BB0A57">
      <w:pPr>
        <w:spacing w:after="120"/>
        <w:jc w:val="both"/>
        <w:rPr>
          <w:b/>
          <w:bCs/>
          <w:u w:val="single"/>
        </w:rPr>
      </w:pPr>
    </w:p>
    <w:p w14:paraId="37F72869" w14:textId="77777777" w:rsidR="000A0D08" w:rsidRDefault="00BC12ED">
      <w:pPr>
        <w:spacing w:after="120"/>
        <w:jc w:val="both"/>
        <w:rPr>
          <w:b/>
          <w:bCs/>
          <w:u w:val="single"/>
        </w:rPr>
      </w:pPr>
      <w:r w:rsidRPr="00700016">
        <w:rPr>
          <w:b/>
          <w:bCs/>
          <w:u w:val="single"/>
        </w:rPr>
        <w:t xml:space="preserve">Table </w:t>
      </w:r>
      <w:r w:rsidR="006550F5" w:rsidRPr="00700016">
        <w:rPr>
          <w:b/>
          <w:bCs/>
          <w:u w:val="single"/>
        </w:rPr>
        <w:t>10</w:t>
      </w:r>
      <w:r w:rsidR="008C006C" w:rsidRPr="00700016">
        <w:rPr>
          <w:b/>
          <w:bCs/>
          <w:u w:val="single"/>
        </w:rPr>
        <w:t>: S</w:t>
      </w:r>
      <w:r w:rsidR="00E751D2" w:rsidRPr="00700016">
        <w:rPr>
          <w:b/>
          <w:bCs/>
          <w:u w:val="single"/>
        </w:rPr>
        <w:t>ummary of Capital forecast by Directorate</w:t>
      </w:r>
      <w:r w:rsidR="00B14AD4" w:rsidRPr="00B14AD4">
        <w:rPr>
          <w:b/>
          <w:bCs/>
          <w:u w:val="single"/>
        </w:rPr>
        <w:t xml:space="preserve"> </w:t>
      </w:r>
    </w:p>
    <w:p w14:paraId="2B8812E9" w14:textId="1FD60C61" w:rsidR="00B14AD4" w:rsidRDefault="000A0D08" w:rsidP="00BB0A57">
      <w:pPr>
        <w:spacing w:after="120"/>
        <w:jc w:val="both"/>
        <w:rPr>
          <w:b/>
          <w:bCs/>
          <w:u w:val="single"/>
        </w:rPr>
      </w:pPr>
      <w:r w:rsidRPr="000A0D08">
        <w:rPr>
          <w:noProof/>
          <w:lang w:eastAsia="en-GB"/>
        </w:rPr>
        <w:drawing>
          <wp:inline distT="0" distB="0" distL="0" distR="0" wp14:anchorId="7CFB90A4" wp14:editId="01B36B47">
            <wp:extent cx="5547360" cy="37566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6823" cy="3763068"/>
                    </a:xfrm>
                    <a:prstGeom prst="rect">
                      <a:avLst/>
                    </a:prstGeom>
                    <a:noFill/>
                    <a:ln>
                      <a:noFill/>
                    </a:ln>
                  </pic:spPr>
                </pic:pic>
              </a:graphicData>
            </a:graphic>
          </wp:inline>
        </w:drawing>
      </w:r>
    </w:p>
    <w:p w14:paraId="6FA856BB" w14:textId="77777777" w:rsidR="000B1112" w:rsidRDefault="000B1112" w:rsidP="00CB1B58"/>
    <w:p w14:paraId="2D706480" w14:textId="77777777" w:rsidR="000B1112" w:rsidRDefault="000B1112" w:rsidP="00CB1B58"/>
    <w:p w14:paraId="770E2928" w14:textId="77777777" w:rsidR="000B1112" w:rsidRDefault="000B1112" w:rsidP="00CB1B58"/>
    <w:p w14:paraId="19651D39" w14:textId="19DD8E0E" w:rsidR="009A1D38" w:rsidRDefault="006550F5" w:rsidP="00CB1B58">
      <w:r w:rsidRPr="00691923">
        <w:rPr>
          <w:b/>
          <w:bCs/>
          <w:u w:val="single"/>
        </w:rPr>
        <w:t>Table 11</w:t>
      </w:r>
      <w:r w:rsidR="00546FB8" w:rsidRPr="00691923">
        <w:rPr>
          <w:b/>
          <w:bCs/>
          <w:u w:val="single"/>
        </w:rPr>
        <w:t xml:space="preserve"> Analysis of Forecast Outturn Variance</w:t>
      </w:r>
      <w:r w:rsidR="00546FB8" w:rsidRPr="00691923">
        <w:t xml:space="preserve"> </w:t>
      </w:r>
    </w:p>
    <w:p w14:paraId="56EAFD01" w14:textId="08BBB08D" w:rsidR="00B14AD4" w:rsidRPr="00691923" w:rsidRDefault="00B14AD4" w:rsidP="00CB1B58">
      <w:r w:rsidRPr="00B14AD4">
        <w:rPr>
          <w:noProof/>
          <w:lang w:eastAsia="en-GB"/>
        </w:rPr>
        <w:drawing>
          <wp:inline distT="0" distB="0" distL="0" distR="0" wp14:anchorId="3F178813" wp14:editId="2782EB7B">
            <wp:extent cx="5669280" cy="3253740"/>
            <wp:effectExtent l="0" t="0" r="762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0660" cy="3254532"/>
                    </a:xfrm>
                    <a:prstGeom prst="rect">
                      <a:avLst/>
                    </a:prstGeom>
                    <a:noFill/>
                    <a:ln>
                      <a:noFill/>
                    </a:ln>
                  </pic:spPr>
                </pic:pic>
              </a:graphicData>
            </a:graphic>
          </wp:inline>
        </w:drawing>
      </w:r>
    </w:p>
    <w:p w14:paraId="58D8FF40" w14:textId="0E522D84" w:rsidR="0010349E" w:rsidRPr="00E4422D" w:rsidRDefault="00E210B9" w:rsidP="00BB0A57">
      <w:pPr>
        <w:spacing w:after="120"/>
        <w:jc w:val="both"/>
        <w:rPr>
          <w:b/>
          <w:bCs/>
        </w:rPr>
      </w:pPr>
      <w:r w:rsidRPr="00CB1B58">
        <w:rPr>
          <w:noProof/>
          <w:highlight w:val="yellow"/>
          <w:lang w:eastAsia="en-GB"/>
        </w:rPr>
        <w:t xml:space="preserve">       </w:t>
      </w:r>
    </w:p>
    <w:p w14:paraId="7046EB52" w14:textId="01A8E7C4" w:rsidR="005E426A" w:rsidRPr="00E4422D" w:rsidRDefault="0077788D" w:rsidP="00BB0A57">
      <w:pPr>
        <w:ind w:left="709"/>
        <w:rPr>
          <w:b/>
          <w:u w:val="single"/>
        </w:rPr>
      </w:pPr>
      <w:r w:rsidRPr="00E4422D">
        <w:tab/>
      </w:r>
    </w:p>
    <w:p w14:paraId="6FBE89BB" w14:textId="37EBF98C" w:rsidR="0077788D" w:rsidRPr="00E4422D" w:rsidRDefault="0077788D" w:rsidP="00BB0A57">
      <w:pPr>
        <w:ind w:left="709"/>
        <w:rPr>
          <w:b/>
          <w:u w:val="single"/>
        </w:rPr>
      </w:pPr>
      <w:r w:rsidRPr="00E4422D">
        <w:rPr>
          <w:b/>
          <w:u w:val="single"/>
        </w:rPr>
        <w:t>RESOURCES DIRECTORATE</w:t>
      </w:r>
    </w:p>
    <w:p w14:paraId="1562A870" w14:textId="77777777" w:rsidR="00AF15CE" w:rsidRPr="00E4422D" w:rsidRDefault="00AF15CE" w:rsidP="00BB0A57">
      <w:pPr>
        <w:rPr>
          <w:b/>
          <w:u w:val="single"/>
        </w:rPr>
      </w:pPr>
    </w:p>
    <w:p w14:paraId="4C035852" w14:textId="354EBF08" w:rsidR="00CC4968" w:rsidRPr="00CB1B58" w:rsidRDefault="00AF15CE" w:rsidP="00CB1B58">
      <w:pPr>
        <w:spacing w:after="120"/>
        <w:ind w:left="720" w:hanging="720"/>
        <w:jc w:val="both"/>
        <w:rPr>
          <w:b/>
          <w:bCs/>
          <w:u w:val="single"/>
          <w:lang w:val="en-US"/>
        </w:rPr>
      </w:pPr>
      <w:r>
        <w:rPr>
          <w:bCs/>
        </w:rPr>
        <w:t>3.6</w:t>
      </w:r>
      <w:r>
        <w:rPr>
          <w:bCs/>
        </w:rPr>
        <w:tab/>
      </w:r>
      <w:r w:rsidR="0077788D" w:rsidRPr="0091766E">
        <w:rPr>
          <w:bCs/>
        </w:rPr>
        <w:t xml:space="preserve">As at Quarter </w:t>
      </w:r>
      <w:r w:rsidR="0026300A">
        <w:rPr>
          <w:bCs/>
        </w:rPr>
        <w:t>2</w:t>
      </w:r>
      <w:r w:rsidR="0029065A" w:rsidRPr="0091766E">
        <w:rPr>
          <w:bCs/>
        </w:rPr>
        <w:t xml:space="preserve"> </w:t>
      </w:r>
      <w:r w:rsidR="0077788D" w:rsidRPr="00CB1B58">
        <w:rPr>
          <w:bCs/>
        </w:rPr>
        <w:t xml:space="preserve">the forecast spend </w:t>
      </w:r>
      <w:proofErr w:type="gramStart"/>
      <w:r w:rsidR="005E426A" w:rsidRPr="00CB1B58">
        <w:rPr>
          <w:bCs/>
        </w:rPr>
        <w:t>is</w:t>
      </w:r>
      <w:proofErr w:type="gramEnd"/>
      <w:r w:rsidR="0077788D" w:rsidRPr="00CB1B58">
        <w:rPr>
          <w:bCs/>
        </w:rPr>
        <w:t xml:space="preserve"> £</w:t>
      </w:r>
      <w:r w:rsidR="00691923" w:rsidRPr="00CB1B58">
        <w:rPr>
          <w:bCs/>
        </w:rPr>
        <w:t>27.422</w:t>
      </w:r>
      <w:r w:rsidR="0029065A" w:rsidRPr="00CB1B58">
        <w:rPr>
          <w:bCs/>
        </w:rPr>
        <w:t xml:space="preserve">m, </w:t>
      </w:r>
      <w:r w:rsidR="00E4422D" w:rsidRPr="00CB1B58">
        <w:rPr>
          <w:bCs/>
        </w:rPr>
        <w:t>10</w:t>
      </w:r>
      <w:r w:rsidR="00B66169" w:rsidRPr="0091766E">
        <w:rPr>
          <w:bCs/>
        </w:rPr>
        <w:t>0</w:t>
      </w:r>
      <w:r w:rsidR="0077788D" w:rsidRPr="00CB1B58">
        <w:rPr>
          <w:bCs/>
        </w:rPr>
        <w:t>% of the 2017</w:t>
      </w:r>
      <w:r w:rsidR="0029065A" w:rsidRPr="00CB1B58">
        <w:rPr>
          <w:bCs/>
        </w:rPr>
        <w:t xml:space="preserve">/18 </w:t>
      </w:r>
      <w:r w:rsidR="0077788D" w:rsidRPr="00CB1B58">
        <w:rPr>
          <w:bCs/>
        </w:rPr>
        <w:t>Resource’s directorate capital budget.</w:t>
      </w:r>
      <w:r w:rsidR="00BF447F" w:rsidRPr="00CB1B58">
        <w:rPr>
          <w:bCs/>
        </w:rPr>
        <w:t xml:space="preserve"> </w:t>
      </w:r>
    </w:p>
    <w:p w14:paraId="52A0C94E" w14:textId="77777777" w:rsidR="00F123B5" w:rsidRPr="00E4422D" w:rsidRDefault="00F123B5" w:rsidP="00F123B5">
      <w:pPr>
        <w:pStyle w:val="ListParagraph"/>
        <w:spacing w:after="120"/>
        <w:ind w:left="928"/>
        <w:jc w:val="both"/>
        <w:rPr>
          <w:b/>
          <w:bCs/>
          <w:u w:val="single"/>
          <w:lang w:val="en-US"/>
        </w:rPr>
      </w:pPr>
    </w:p>
    <w:p w14:paraId="7DFBAC7D" w14:textId="3B1523D5" w:rsidR="00107852" w:rsidRPr="00E4422D" w:rsidRDefault="00107852" w:rsidP="00BB0A57">
      <w:pPr>
        <w:pStyle w:val="ListParagraph"/>
        <w:spacing w:after="120"/>
        <w:ind w:left="928"/>
        <w:jc w:val="both"/>
        <w:rPr>
          <w:b/>
          <w:bCs/>
          <w:u w:val="single"/>
        </w:rPr>
      </w:pPr>
      <w:r w:rsidRPr="00E4422D">
        <w:rPr>
          <w:b/>
          <w:bCs/>
          <w:u w:val="single"/>
          <w:lang w:val="en-US"/>
        </w:rPr>
        <w:t>COMMUNITY DIECTORATE</w:t>
      </w:r>
    </w:p>
    <w:p w14:paraId="7CD7736C" w14:textId="20572D80" w:rsidR="000D3AF9" w:rsidRPr="00E4422D" w:rsidRDefault="000D3AF9" w:rsidP="00CB1B58">
      <w:pPr>
        <w:pStyle w:val="ListParagraph"/>
        <w:numPr>
          <w:ilvl w:val="0"/>
          <w:numId w:val="95"/>
        </w:numPr>
        <w:spacing w:after="120"/>
        <w:ind w:left="709" w:hanging="709"/>
        <w:jc w:val="both"/>
        <w:rPr>
          <w:bCs/>
        </w:rPr>
      </w:pPr>
      <w:r w:rsidRPr="00E4422D">
        <w:rPr>
          <w:bCs/>
        </w:rPr>
        <w:t xml:space="preserve">As at Quarter </w:t>
      </w:r>
      <w:r w:rsidR="004F1DED">
        <w:rPr>
          <w:bCs/>
        </w:rPr>
        <w:t>2</w:t>
      </w:r>
      <w:r w:rsidRPr="00E4422D">
        <w:rPr>
          <w:bCs/>
        </w:rPr>
        <w:t xml:space="preserve"> the forecast is £38.</w:t>
      </w:r>
      <w:r w:rsidR="00E4422D" w:rsidRPr="00CB1B58">
        <w:rPr>
          <w:bCs/>
        </w:rPr>
        <w:t>881</w:t>
      </w:r>
      <w:r w:rsidRPr="00E4422D">
        <w:rPr>
          <w:bCs/>
        </w:rPr>
        <w:t xml:space="preserve">m, </w:t>
      </w:r>
      <w:r w:rsidR="00C96F4A">
        <w:rPr>
          <w:bCs/>
        </w:rPr>
        <w:t>80</w:t>
      </w:r>
      <w:r w:rsidRPr="00E4422D">
        <w:rPr>
          <w:bCs/>
        </w:rPr>
        <w:t>% of the total budget.</w:t>
      </w:r>
    </w:p>
    <w:p w14:paraId="1435E3F0" w14:textId="29F3BAA9" w:rsidR="000D3AF9" w:rsidRPr="00E4422D" w:rsidRDefault="000D3AF9" w:rsidP="00CB1B58">
      <w:pPr>
        <w:pStyle w:val="ListParagraph"/>
        <w:numPr>
          <w:ilvl w:val="0"/>
          <w:numId w:val="95"/>
        </w:numPr>
        <w:spacing w:after="120"/>
        <w:ind w:left="709" w:hanging="709"/>
        <w:jc w:val="both"/>
        <w:rPr>
          <w:bCs/>
        </w:rPr>
      </w:pPr>
      <w:r w:rsidRPr="00E4422D">
        <w:rPr>
          <w:bCs/>
        </w:rPr>
        <w:t xml:space="preserve">The forecast under spend is </w:t>
      </w:r>
      <w:r w:rsidR="00C5236A">
        <w:rPr>
          <w:bCs/>
        </w:rPr>
        <w:t>(</w:t>
      </w:r>
      <w:r w:rsidRPr="00E4422D">
        <w:rPr>
          <w:bCs/>
        </w:rPr>
        <w:t>£</w:t>
      </w:r>
      <w:r w:rsidR="00E4422D" w:rsidRPr="00CB1B58">
        <w:rPr>
          <w:bCs/>
        </w:rPr>
        <w:t>9.421</w:t>
      </w:r>
      <w:r w:rsidRPr="00E4422D">
        <w:rPr>
          <w:bCs/>
        </w:rPr>
        <w:t>m</w:t>
      </w:r>
      <w:r w:rsidR="00C5236A">
        <w:rPr>
          <w:bCs/>
        </w:rPr>
        <w:t>)</w:t>
      </w:r>
      <w:r w:rsidRPr="00E4422D">
        <w:rPr>
          <w:bCs/>
        </w:rPr>
        <w:t xml:space="preserve"> of which £9.</w:t>
      </w:r>
      <w:r w:rsidR="00E4422D" w:rsidRPr="00CB1B58">
        <w:rPr>
          <w:bCs/>
        </w:rPr>
        <w:t>318</w:t>
      </w:r>
      <w:r w:rsidRPr="00E4422D">
        <w:rPr>
          <w:bCs/>
        </w:rPr>
        <w:t>m will be slipped to 2018-19 and £</w:t>
      </w:r>
      <w:r w:rsidR="00E4422D" w:rsidRPr="00CB1B58">
        <w:rPr>
          <w:bCs/>
        </w:rPr>
        <w:t>0.</w:t>
      </w:r>
      <w:r w:rsidR="00B47938" w:rsidRPr="00E4422D">
        <w:rPr>
          <w:bCs/>
        </w:rPr>
        <w:t>1</w:t>
      </w:r>
      <w:r w:rsidR="00E4422D" w:rsidRPr="00CB1B58">
        <w:rPr>
          <w:bCs/>
        </w:rPr>
        <w:t>0</w:t>
      </w:r>
      <w:r w:rsidR="00B47938" w:rsidRPr="00E4422D">
        <w:rPr>
          <w:bCs/>
        </w:rPr>
        <w:t>3</w:t>
      </w:r>
      <w:r w:rsidRPr="00E4422D">
        <w:rPr>
          <w:bCs/>
        </w:rPr>
        <w:t>m is no longer needed. The main items of slippage and underspend are detailed below:</w:t>
      </w:r>
    </w:p>
    <w:p w14:paraId="6A5C9D53" w14:textId="0A50130F" w:rsidR="000D3AF9" w:rsidRPr="00E4422D" w:rsidRDefault="000D3AF9" w:rsidP="002C50A2">
      <w:pPr>
        <w:autoSpaceDE w:val="0"/>
        <w:autoSpaceDN w:val="0"/>
        <w:adjustRightInd w:val="0"/>
        <w:spacing w:before="360" w:after="120"/>
        <w:ind w:left="709" w:firstLine="11"/>
        <w:rPr>
          <w:b/>
        </w:rPr>
      </w:pPr>
      <w:r w:rsidRPr="00E4422D">
        <w:rPr>
          <w:b/>
        </w:rPr>
        <w:t xml:space="preserve"> Environment &amp; Commissioning</w:t>
      </w:r>
    </w:p>
    <w:p w14:paraId="3D051B2D" w14:textId="677D2C7B" w:rsidR="00E4422D" w:rsidRPr="00CB1B58" w:rsidRDefault="002A2594" w:rsidP="00CB1B58">
      <w:pPr>
        <w:pStyle w:val="ListParagraph"/>
        <w:numPr>
          <w:ilvl w:val="0"/>
          <w:numId w:val="95"/>
        </w:numPr>
        <w:spacing w:after="120"/>
        <w:ind w:left="709" w:hanging="709"/>
        <w:jc w:val="both"/>
        <w:rPr>
          <w:bCs/>
        </w:rPr>
      </w:pPr>
      <w:r>
        <w:rPr>
          <w:bCs/>
        </w:rPr>
        <w:t xml:space="preserve">At </w:t>
      </w:r>
      <w:r w:rsidR="00E4422D" w:rsidRPr="00CB1B58">
        <w:rPr>
          <w:bCs/>
        </w:rPr>
        <w:t xml:space="preserve">the end of Quarter 2, 52% of the budget has been spent/committed, which suggests that the service is on track of delivering its capital programme at this time of the year. The service forecast to spend £21.451m (97%) in 17/18 and a slippage of </w:t>
      </w:r>
      <w:r w:rsidR="00C5236A">
        <w:rPr>
          <w:bCs/>
        </w:rPr>
        <w:t>(</w:t>
      </w:r>
      <w:r w:rsidR="00E4422D" w:rsidRPr="00CB1B58">
        <w:rPr>
          <w:bCs/>
        </w:rPr>
        <w:t>£0.725m</w:t>
      </w:r>
      <w:r w:rsidR="00C5236A">
        <w:rPr>
          <w:bCs/>
        </w:rPr>
        <w:t>)</w:t>
      </w:r>
      <w:r w:rsidR="00E4422D" w:rsidRPr="00CB1B58">
        <w:rPr>
          <w:bCs/>
        </w:rPr>
        <w:t>.</w:t>
      </w:r>
    </w:p>
    <w:p w14:paraId="062EE669" w14:textId="635F91A7" w:rsidR="00E4422D" w:rsidRPr="00CB1B58" w:rsidRDefault="00E4422D" w:rsidP="00CB1B58">
      <w:pPr>
        <w:pStyle w:val="ListParagraph"/>
        <w:numPr>
          <w:ilvl w:val="0"/>
          <w:numId w:val="95"/>
        </w:numPr>
        <w:spacing w:after="120"/>
        <w:ind w:left="709" w:hanging="709"/>
        <w:jc w:val="both"/>
        <w:rPr>
          <w:bCs/>
        </w:rPr>
      </w:pPr>
      <w:r w:rsidRPr="00CB1B58">
        <w:rPr>
          <w:bCs/>
        </w:rPr>
        <w:t>A capital budget of £0.7</w:t>
      </w:r>
      <w:r w:rsidR="002A2594">
        <w:rPr>
          <w:bCs/>
        </w:rPr>
        <w:t>2</w:t>
      </w:r>
      <w:r w:rsidRPr="00CB1B58">
        <w:rPr>
          <w:bCs/>
        </w:rPr>
        <w:t>5m is provided primarily for the replacement of the roof and roof lights at Vernon Lodge. The work is currently put on hold pending a decision on a wider project. Although the roof is coming to the end of its life, the building is currently watertight. Should this position change before a decision is taken on the wider project, the capital budget will be used to undertake targeted repairs to the roof to prevent water ingress into the building. It is currently forecast that £0.725m will be slipped into 18/19.</w:t>
      </w:r>
    </w:p>
    <w:p w14:paraId="42695E78" w14:textId="334C98B2" w:rsidR="000E14A4" w:rsidRPr="00CB1B58" w:rsidRDefault="000E14A4" w:rsidP="00CB1B58">
      <w:pPr>
        <w:spacing w:after="120"/>
        <w:jc w:val="both"/>
        <w:rPr>
          <w:bCs/>
          <w:highlight w:val="yellow"/>
        </w:rPr>
      </w:pPr>
    </w:p>
    <w:p w14:paraId="45F2D003" w14:textId="655E3401" w:rsidR="000E14A4" w:rsidRPr="00E4422D" w:rsidRDefault="003A7C33" w:rsidP="00BB0A57">
      <w:pPr>
        <w:spacing w:after="120"/>
        <w:ind w:left="720"/>
        <w:jc w:val="both"/>
        <w:rPr>
          <w:b/>
        </w:rPr>
      </w:pPr>
      <w:r w:rsidRPr="00E4422D">
        <w:rPr>
          <w:b/>
        </w:rPr>
        <w:t>C</w:t>
      </w:r>
      <w:r w:rsidR="000E14A4" w:rsidRPr="00E4422D">
        <w:rPr>
          <w:b/>
        </w:rPr>
        <w:t>ulture</w:t>
      </w:r>
    </w:p>
    <w:p w14:paraId="0A6EA97F" w14:textId="2E84C6A5" w:rsidR="000E14A4" w:rsidRPr="00E4422D" w:rsidRDefault="000E14A4" w:rsidP="00CB1B58">
      <w:pPr>
        <w:pStyle w:val="ListParagraph"/>
        <w:numPr>
          <w:ilvl w:val="0"/>
          <w:numId w:val="95"/>
        </w:numPr>
        <w:spacing w:after="120"/>
        <w:ind w:left="709" w:hanging="709"/>
        <w:jc w:val="both"/>
        <w:rPr>
          <w:bCs/>
        </w:rPr>
      </w:pPr>
      <w:r w:rsidRPr="00E4422D">
        <w:rPr>
          <w:bCs/>
        </w:rPr>
        <w:t xml:space="preserve">At Quarter </w:t>
      </w:r>
      <w:r w:rsidR="00E4422D">
        <w:rPr>
          <w:bCs/>
        </w:rPr>
        <w:t>2</w:t>
      </w:r>
      <w:r w:rsidRPr="00E4422D">
        <w:rPr>
          <w:bCs/>
        </w:rPr>
        <w:t xml:space="preserve"> the</w:t>
      </w:r>
      <w:r w:rsidR="00E4422D" w:rsidRPr="00CB1B58">
        <w:rPr>
          <w:bCs/>
        </w:rPr>
        <w:t xml:space="preserve"> service </w:t>
      </w:r>
      <w:r w:rsidRPr="00E4422D">
        <w:rPr>
          <w:bCs/>
        </w:rPr>
        <w:t>forecast</w:t>
      </w:r>
      <w:r w:rsidR="00E4422D" w:rsidRPr="00CB1B58">
        <w:rPr>
          <w:bCs/>
        </w:rPr>
        <w:t xml:space="preserve"> to </w:t>
      </w:r>
      <w:r w:rsidR="00322879" w:rsidRPr="00E4422D">
        <w:rPr>
          <w:bCs/>
        </w:rPr>
        <w:t>spend</w:t>
      </w:r>
      <w:r w:rsidRPr="00E4422D">
        <w:rPr>
          <w:bCs/>
        </w:rPr>
        <w:t xml:space="preserve"> i</w:t>
      </w:r>
      <w:r w:rsidR="00E4422D" w:rsidRPr="00CB1B58">
        <w:rPr>
          <w:bCs/>
        </w:rPr>
        <w:t>t</w:t>
      </w:r>
      <w:r w:rsidRPr="00E4422D">
        <w:rPr>
          <w:bCs/>
        </w:rPr>
        <w:t xml:space="preserve">s </w:t>
      </w:r>
      <w:r w:rsidR="00E4422D" w:rsidRPr="00CB1B58">
        <w:rPr>
          <w:bCs/>
        </w:rPr>
        <w:t xml:space="preserve">full allocation </w:t>
      </w:r>
      <w:r w:rsidRPr="00E4422D">
        <w:rPr>
          <w:bCs/>
        </w:rPr>
        <w:t>£</w:t>
      </w:r>
      <w:r w:rsidR="00D4573F" w:rsidRPr="00E4422D">
        <w:rPr>
          <w:bCs/>
        </w:rPr>
        <w:t>2.72</w:t>
      </w:r>
      <w:r w:rsidR="00E4422D" w:rsidRPr="00CB1B58">
        <w:rPr>
          <w:bCs/>
        </w:rPr>
        <w:t>9</w:t>
      </w:r>
      <w:r w:rsidRPr="00E4422D">
        <w:rPr>
          <w:bCs/>
        </w:rPr>
        <w:t>m</w:t>
      </w:r>
      <w:r w:rsidR="00E4422D" w:rsidRPr="00CB1B58">
        <w:rPr>
          <w:bCs/>
        </w:rPr>
        <w:t xml:space="preserve"> in 2017/18</w:t>
      </w:r>
      <w:r w:rsidRPr="00E4422D">
        <w:rPr>
          <w:bCs/>
        </w:rPr>
        <w:t>.</w:t>
      </w:r>
    </w:p>
    <w:p w14:paraId="5A3854EC" w14:textId="77777777" w:rsidR="00A13EEA" w:rsidRDefault="00A13EEA" w:rsidP="00BB0A57">
      <w:pPr>
        <w:pStyle w:val="ListParagraph"/>
        <w:spacing w:after="120"/>
        <w:ind w:left="786"/>
        <w:jc w:val="both"/>
        <w:rPr>
          <w:b/>
          <w:bCs/>
        </w:rPr>
      </w:pPr>
    </w:p>
    <w:p w14:paraId="60A252D0" w14:textId="77777777" w:rsidR="000C15BE" w:rsidRDefault="000C15BE" w:rsidP="00BB0A57">
      <w:pPr>
        <w:pStyle w:val="ListParagraph"/>
        <w:spacing w:after="120"/>
        <w:ind w:left="786"/>
        <w:jc w:val="both"/>
        <w:rPr>
          <w:b/>
          <w:bCs/>
        </w:rPr>
      </w:pPr>
    </w:p>
    <w:p w14:paraId="3E848EFB" w14:textId="5DB47F56" w:rsidR="009F2161" w:rsidRPr="003C0F6E" w:rsidRDefault="009F2161" w:rsidP="00BB0A57">
      <w:pPr>
        <w:pStyle w:val="ListParagraph"/>
        <w:spacing w:after="120"/>
        <w:ind w:left="786"/>
        <w:jc w:val="both"/>
        <w:rPr>
          <w:b/>
          <w:bCs/>
        </w:rPr>
      </w:pPr>
      <w:r w:rsidRPr="003C0F6E">
        <w:rPr>
          <w:b/>
          <w:bCs/>
        </w:rPr>
        <w:t>Housing General Fund</w:t>
      </w:r>
    </w:p>
    <w:p w14:paraId="3AB8A3D5" w14:textId="2C3FB994" w:rsidR="004A47D9" w:rsidRPr="003C0F6E" w:rsidRDefault="008B3424" w:rsidP="00CB1B58">
      <w:pPr>
        <w:pStyle w:val="ListParagraph"/>
        <w:numPr>
          <w:ilvl w:val="0"/>
          <w:numId w:val="95"/>
        </w:numPr>
        <w:spacing w:after="120"/>
        <w:ind w:left="709" w:hanging="709"/>
        <w:jc w:val="both"/>
        <w:rPr>
          <w:bCs/>
        </w:rPr>
      </w:pPr>
      <w:r w:rsidRPr="003C0F6E">
        <w:rPr>
          <w:bCs/>
        </w:rPr>
        <w:t xml:space="preserve">At Quarter </w:t>
      </w:r>
      <w:r w:rsidR="008442F1" w:rsidRPr="00CB1B58">
        <w:rPr>
          <w:bCs/>
        </w:rPr>
        <w:t>2</w:t>
      </w:r>
      <w:r w:rsidRPr="003C0F6E">
        <w:rPr>
          <w:bCs/>
        </w:rPr>
        <w:t xml:space="preserve"> the outturn forecast for Housing General Fund is </w:t>
      </w:r>
      <w:r w:rsidR="004A47D9" w:rsidRPr="003C0F6E">
        <w:rPr>
          <w:bCs/>
        </w:rPr>
        <w:t xml:space="preserve"> £</w:t>
      </w:r>
      <w:r w:rsidR="008442F1" w:rsidRPr="00CB1B58">
        <w:rPr>
          <w:bCs/>
        </w:rPr>
        <w:t>14.</w:t>
      </w:r>
      <w:r w:rsidR="00F2020C">
        <w:rPr>
          <w:bCs/>
        </w:rPr>
        <w:t>701</w:t>
      </w:r>
      <w:r w:rsidR="004A47D9" w:rsidRPr="003C0F6E">
        <w:rPr>
          <w:bCs/>
        </w:rPr>
        <w:t xml:space="preserve">m </w:t>
      </w:r>
    </w:p>
    <w:p w14:paraId="21626F39" w14:textId="77A5885E" w:rsidR="004A47D9" w:rsidRDefault="004A47D9" w:rsidP="00CB1B58">
      <w:pPr>
        <w:pStyle w:val="ListParagraph"/>
        <w:numPr>
          <w:ilvl w:val="0"/>
          <w:numId w:val="95"/>
        </w:numPr>
        <w:spacing w:after="120"/>
        <w:ind w:left="709" w:hanging="709"/>
        <w:jc w:val="both"/>
        <w:rPr>
          <w:bCs/>
        </w:rPr>
      </w:pPr>
      <w:r w:rsidRPr="003C0F6E">
        <w:rPr>
          <w:bCs/>
        </w:rPr>
        <w:t xml:space="preserve">The forecast under spend is </w:t>
      </w:r>
      <w:r w:rsidR="00F2020C">
        <w:rPr>
          <w:bCs/>
        </w:rPr>
        <w:t>(</w:t>
      </w:r>
      <w:r w:rsidRPr="003C0F6E">
        <w:rPr>
          <w:bCs/>
        </w:rPr>
        <w:t>£</w:t>
      </w:r>
      <w:r w:rsidR="008442F1" w:rsidRPr="00CB1B58">
        <w:rPr>
          <w:bCs/>
        </w:rPr>
        <w:t>8.69</w:t>
      </w:r>
      <w:r w:rsidR="00F2020C">
        <w:rPr>
          <w:bCs/>
        </w:rPr>
        <w:t>6</w:t>
      </w:r>
      <w:r w:rsidRPr="003C0F6E">
        <w:rPr>
          <w:bCs/>
        </w:rPr>
        <w:t>m</w:t>
      </w:r>
      <w:r w:rsidR="00F2020C">
        <w:rPr>
          <w:bCs/>
        </w:rPr>
        <w:t>)</w:t>
      </w:r>
      <w:r w:rsidRPr="003C0F6E">
        <w:rPr>
          <w:bCs/>
        </w:rPr>
        <w:t xml:space="preserve"> of which</w:t>
      </w:r>
      <w:r w:rsidR="008442F1" w:rsidRPr="00CB1B58">
        <w:rPr>
          <w:bCs/>
        </w:rPr>
        <w:t xml:space="preserve"> £8.593m</w:t>
      </w:r>
      <w:r w:rsidRPr="003C0F6E">
        <w:rPr>
          <w:bCs/>
        </w:rPr>
        <w:t xml:space="preserve"> </w:t>
      </w:r>
      <w:r w:rsidR="00F123B5" w:rsidRPr="003C0F6E">
        <w:rPr>
          <w:bCs/>
        </w:rPr>
        <w:t xml:space="preserve">will all be slipped </w:t>
      </w:r>
      <w:r w:rsidRPr="003C0F6E">
        <w:rPr>
          <w:bCs/>
        </w:rPr>
        <w:t>to 2018-19</w:t>
      </w:r>
      <w:r w:rsidR="008442F1" w:rsidRPr="00CB1B58">
        <w:rPr>
          <w:bCs/>
        </w:rPr>
        <w:t xml:space="preserve"> and £0.103m budget is no longer needed.</w:t>
      </w:r>
    </w:p>
    <w:p w14:paraId="71EF4675" w14:textId="5826C343" w:rsidR="00F6323D" w:rsidRPr="00F6323D" w:rsidRDefault="00BF6C2C" w:rsidP="00F6323D">
      <w:pPr>
        <w:pStyle w:val="ListParagraph"/>
        <w:numPr>
          <w:ilvl w:val="0"/>
          <w:numId w:val="95"/>
        </w:numPr>
        <w:spacing w:after="120"/>
        <w:ind w:left="709" w:hanging="709"/>
        <w:jc w:val="both"/>
        <w:rPr>
          <w:bCs/>
        </w:rPr>
      </w:pPr>
      <w:r>
        <w:rPr>
          <w:bCs/>
        </w:rPr>
        <w:t>B</w:t>
      </w:r>
      <w:r w:rsidR="009965E3" w:rsidRPr="009965E3">
        <w:rPr>
          <w:bCs/>
        </w:rPr>
        <w:t>udget of £9m for the additional 50 properties is assumed to slip to 2018-19 pending completion of the review of programme</w:t>
      </w:r>
      <w:r w:rsidR="00F6323D">
        <w:rPr>
          <w:bCs/>
        </w:rPr>
        <w:t>,</w:t>
      </w:r>
      <w:r w:rsidR="00C57FBE">
        <w:rPr>
          <w:bCs/>
        </w:rPr>
        <w:t xml:space="preserve"> </w:t>
      </w:r>
      <w:r w:rsidR="00F6323D" w:rsidRPr="00F6323D">
        <w:rPr>
          <w:bCs/>
        </w:rPr>
        <w:t xml:space="preserve">resulting in delays in </w:t>
      </w:r>
      <w:r w:rsidR="00944483">
        <w:rPr>
          <w:bCs/>
        </w:rPr>
        <w:t xml:space="preserve">the </w:t>
      </w:r>
      <w:r w:rsidR="00F6323D" w:rsidRPr="00F6323D">
        <w:rPr>
          <w:bCs/>
        </w:rPr>
        <w:t xml:space="preserve">achievement of the associated homelessness savings assumed </w:t>
      </w:r>
      <w:r w:rsidR="00944483">
        <w:rPr>
          <w:bCs/>
        </w:rPr>
        <w:t>i</w:t>
      </w:r>
      <w:r w:rsidR="00F6323D" w:rsidRPr="00F6323D">
        <w:rPr>
          <w:bCs/>
        </w:rPr>
        <w:t>n the MTFS.</w:t>
      </w:r>
    </w:p>
    <w:p w14:paraId="241DCD7D" w14:textId="46AAC219" w:rsidR="008442F1" w:rsidRPr="00CB1B58" w:rsidRDefault="008442F1" w:rsidP="00CB1B58">
      <w:pPr>
        <w:pStyle w:val="ListParagraph"/>
        <w:numPr>
          <w:ilvl w:val="0"/>
          <w:numId w:val="95"/>
        </w:numPr>
        <w:spacing w:after="120"/>
        <w:ind w:left="709" w:hanging="709"/>
        <w:jc w:val="both"/>
        <w:rPr>
          <w:bCs/>
        </w:rPr>
      </w:pPr>
      <w:r w:rsidRPr="00CB1B58">
        <w:rPr>
          <w:bCs/>
        </w:rPr>
        <w:t>Empty Property and Improvement Grants are expected to under spend £96k and £66k respectively, of which £59k (relating to EPGs) expected to slip resulting in fewer private rented dwellings becoming available to accommodate homeless households adversely impacting homelessness expenditure.</w:t>
      </w:r>
      <w:r w:rsidR="00C5236A" w:rsidRPr="00C5236A">
        <w:t xml:space="preserve"> </w:t>
      </w:r>
      <w:r w:rsidR="00C5236A" w:rsidRPr="00C5236A">
        <w:rPr>
          <w:bCs/>
        </w:rPr>
        <w:t>EPG spend is restricted by availability of suitable properties and completion of works, together with delays in securing funding from private land lords</w:t>
      </w:r>
      <w:r w:rsidR="00C5236A">
        <w:rPr>
          <w:bCs/>
        </w:rPr>
        <w:t>.</w:t>
      </w:r>
    </w:p>
    <w:p w14:paraId="6FB8151B" w14:textId="5B6E2F1A" w:rsidR="008442F1" w:rsidRPr="00CB1B58" w:rsidRDefault="008442F1" w:rsidP="00CB1B58">
      <w:pPr>
        <w:pStyle w:val="ListParagraph"/>
        <w:numPr>
          <w:ilvl w:val="0"/>
          <w:numId w:val="95"/>
        </w:numPr>
        <w:spacing w:after="120"/>
        <w:ind w:left="709" w:hanging="709"/>
        <w:jc w:val="both"/>
        <w:rPr>
          <w:bCs/>
        </w:rPr>
      </w:pPr>
      <w:r w:rsidRPr="00CB1B58">
        <w:rPr>
          <w:bCs/>
        </w:rPr>
        <w:t>Acquisition of the first 100 properties in the Council’s Property Acquisition Programme is almost complete and is expected to result in an overspend of £466k due to a reduction in the overall capital budget for the first 100 homes from £30m to £27m, required to fund pressures elsewhere in the Council.</w:t>
      </w:r>
    </w:p>
    <w:p w14:paraId="7CBB7862" w14:textId="77777777" w:rsidR="009718B5" w:rsidRDefault="009718B5" w:rsidP="00BB0A57">
      <w:pPr>
        <w:ind w:firstLine="709"/>
        <w:rPr>
          <w:b/>
          <w:bCs/>
          <w:highlight w:val="yellow"/>
          <w:u w:val="single"/>
        </w:rPr>
      </w:pPr>
    </w:p>
    <w:p w14:paraId="6898ADF5" w14:textId="77777777" w:rsidR="00FD1D40" w:rsidRPr="00CB1B58" w:rsidRDefault="00FD1D40" w:rsidP="00BB0A57">
      <w:pPr>
        <w:ind w:firstLine="709"/>
        <w:rPr>
          <w:b/>
          <w:bCs/>
          <w:highlight w:val="yellow"/>
          <w:u w:val="single"/>
        </w:rPr>
      </w:pPr>
    </w:p>
    <w:p w14:paraId="3F064AE0" w14:textId="77777777" w:rsidR="009718B5" w:rsidRPr="00CB1B58" w:rsidRDefault="009718B5" w:rsidP="00BB0A57">
      <w:pPr>
        <w:ind w:firstLine="709"/>
        <w:rPr>
          <w:b/>
          <w:bCs/>
          <w:highlight w:val="yellow"/>
          <w:u w:val="single"/>
        </w:rPr>
      </w:pPr>
    </w:p>
    <w:p w14:paraId="7A6E7946" w14:textId="1B8F27D3" w:rsidR="000A63BB" w:rsidRPr="008442F1" w:rsidRDefault="000A63BB" w:rsidP="00BB0A57">
      <w:pPr>
        <w:ind w:firstLine="709"/>
        <w:rPr>
          <w:b/>
          <w:bCs/>
          <w:u w:val="single"/>
        </w:rPr>
      </w:pPr>
      <w:r w:rsidRPr="008442F1">
        <w:rPr>
          <w:b/>
          <w:bCs/>
          <w:u w:val="single"/>
        </w:rPr>
        <w:t>PEOPLE</w:t>
      </w:r>
    </w:p>
    <w:p w14:paraId="6D9AE1AA" w14:textId="77777777" w:rsidR="00DB2E72" w:rsidRPr="008442F1" w:rsidRDefault="00DB2E72" w:rsidP="00BB0A57">
      <w:pPr>
        <w:spacing w:after="120"/>
        <w:jc w:val="both"/>
        <w:rPr>
          <w:b/>
          <w:bCs/>
        </w:rPr>
      </w:pPr>
    </w:p>
    <w:p w14:paraId="276F0D32" w14:textId="148D0198" w:rsidR="000A63BB" w:rsidRPr="008442F1" w:rsidRDefault="000A63BB" w:rsidP="00CB1B58">
      <w:pPr>
        <w:pStyle w:val="ListParagraph"/>
        <w:numPr>
          <w:ilvl w:val="0"/>
          <w:numId w:val="95"/>
        </w:numPr>
        <w:spacing w:after="120"/>
        <w:ind w:left="709" w:hanging="709"/>
        <w:jc w:val="both"/>
        <w:rPr>
          <w:bCs/>
        </w:rPr>
      </w:pPr>
      <w:r w:rsidRPr="008442F1">
        <w:rPr>
          <w:bCs/>
        </w:rPr>
        <w:t xml:space="preserve">At Quarter </w:t>
      </w:r>
      <w:r w:rsidR="008442F1" w:rsidRPr="00CB1B58">
        <w:rPr>
          <w:bCs/>
        </w:rPr>
        <w:t>2</w:t>
      </w:r>
      <w:r w:rsidRPr="008442F1">
        <w:rPr>
          <w:bCs/>
        </w:rPr>
        <w:t xml:space="preserve"> the forecast spend is £2</w:t>
      </w:r>
      <w:r w:rsidR="008442F1" w:rsidRPr="00CB1B58">
        <w:rPr>
          <w:bCs/>
        </w:rPr>
        <w:t>5.655</w:t>
      </w:r>
      <w:r w:rsidRPr="008442F1">
        <w:rPr>
          <w:bCs/>
        </w:rPr>
        <w:t>m, 7</w:t>
      </w:r>
      <w:r w:rsidR="008442F1" w:rsidRPr="00CB1B58">
        <w:rPr>
          <w:bCs/>
        </w:rPr>
        <w:t>7</w:t>
      </w:r>
      <w:r w:rsidRPr="008442F1">
        <w:rPr>
          <w:bCs/>
        </w:rPr>
        <w:t xml:space="preserve">% of the 2017/18 </w:t>
      </w:r>
      <w:r w:rsidRPr="008442F1">
        <w:rPr>
          <w:bCs/>
        </w:rPr>
        <w:tab/>
        <w:t>People’s directorate capital budget.</w:t>
      </w:r>
    </w:p>
    <w:p w14:paraId="1872D28C" w14:textId="6E5DA9E4" w:rsidR="006E19E9" w:rsidRPr="008442F1" w:rsidRDefault="000A63BB" w:rsidP="00CB1B58">
      <w:pPr>
        <w:pStyle w:val="ListParagraph"/>
        <w:numPr>
          <w:ilvl w:val="0"/>
          <w:numId w:val="95"/>
        </w:numPr>
        <w:spacing w:after="120"/>
        <w:ind w:left="709" w:hanging="709"/>
        <w:jc w:val="both"/>
        <w:rPr>
          <w:bCs/>
          <w:sz w:val="20"/>
          <w:u w:val="single"/>
        </w:rPr>
      </w:pPr>
      <w:r w:rsidRPr="008442F1">
        <w:rPr>
          <w:bCs/>
        </w:rPr>
        <w:t xml:space="preserve">The forecast under spend is </w:t>
      </w:r>
      <w:r w:rsidR="00C5236A">
        <w:rPr>
          <w:bCs/>
        </w:rPr>
        <w:t>(</w:t>
      </w:r>
      <w:r w:rsidRPr="008442F1">
        <w:rPr>
          <w:bCs/>
        </w:rPr>
        <w:t>£</w:t>
      </w:r>
      <w:r w:rsidR="008442F1" w:rsidRPr="00CB1B58">
        <w:rPr>
          <w:bCs/>
        </w:rPr>
        <w:t>7.752</w:t>
      </w:r>
      <w:r w:rsidRPr="008442F1">
        <w:rPr>
          <w:bCs/>
        </w:rPr>
        <w:t>m</w:t>
      </w:r>
      <w:r w:rsidR="00C5236A">
        <w:rPr>
          <w:bCs/>
        </w:rPr>
        <w:t>)</w:t>
      </w:r>
      <w:r w:rsidR="006E19E9" w:rsidRPr="008442F1">
        <w:rPr>
          <w:bCs/>
        </w:rPr>
        <w:t xml:space="preserve"> will </w:t>
      </w:r>
      <w:r w:rsidR="008442F1" w:rsidRPr="00CB1B58">
        <w:rPr>
          <w:bCs/>
        </w:rPr>
        <w:t xml:space="preserve">all </w:t>
      </w:r>
      <w:r w:rsidR="006E19E9" w:rsidRPr="008442F1">
        <w:rPr>
          <w:bCs/>
        </w:rPr>
        <w:t>be slipped to 20</w:t>
      </w:r>
      <w:r w:rsidRPr="008442F1">
        <w:rPr>
          <w:bCs/>
        </w:rPr>
        <w:t>18</w:t>
      </w:r>
      <w:r w:rsidR="006E19E9" w:rsidRPr="008442F1">
        <w:rPr>
          <w:bCs/>
        </w:rPr>
        <w:t>/19</w:t>
      </w:r>
      <w:r w:rsidR="008442F1" w:rsidRPr="00CB1B58">
        <w:rPr>
          <w:bCs/>
        </w:rPr>
        <w:t>.</w:t>
      </w:r>
      <w:r w:rsidRPr="008442F1">
        <w:rPr>
          <w:bCs/>
        </w:rPr>
        <w:t xml:space="preserve"> </w:t>
      </w:r>
    </w:p>
    <w:p w14:paraId="0FA80788" w14:textId="77777777" w:rsidR="007C155F" w:rsidRDefault="007C155F" w:rsidP="00BB0A57">
      <w:pPr>
        <w:pStyle w:val="ListParagraph"/>
        <w:spacing w:after="120"/>
        <w:ind w:left="709"/>
        <w:jc w:val="both"/>
        <w:rPr>
          <w:b/>
          <w:bCs/>
          <w:sz w:val="20"/>
        </w:rPr>
      </w:pPr>
    </w:p>
    <w:p w14:paraId="7F3061F9" w14:textId="15C5DDAF" w:rsidR="000A63BB" w:rsidRPr="008442F1" w:rsidRDefault="000A63BB" w:rsidP="00BB0A57">
      <w:pPr>
        <w:pStyle w:val="ListParagraph"/>
        <w:spacing w:after="120"/>
        <w:ind w:left="709"/>
        <w:jc w:val="both"/>
        <w:rPr>
          <w:b/>
          <w:bCs/>
          <w:sz w:val="20"/>
        </w:rPr>
      </w:pPr>
      <w:r w:rsidRPr="008442F1">
        <w:rPr>
          <w:b/>
          <w:bCs/>
          <w:sz w:val="20"/>
        </w:rPr>
        <w:t>ADULT</w:t>
      </w:r>
      <w:r w:rsidR="00B06904" w:rsidRPr="008442F1">
        <w:rPr>
          <w:b/>
          <w:bCs/>
          <w:sz w:val="20"/>
        </w:rPr>
        <w:t>S</w:t>
      </w:r>
    </w:p>
    <w:p w14:paraId="2132D993" w14:textId="0EC64607" w:rsidR="00B06904" w:rsidRPr="008442F1" w:rsidRDefault="00B06904" w:rsidP="00CB1B58">
      <w:pPr>
        <w:pStyle w:val="ListParagraph"/>
        <w:numPr>
          <w:ilvl w:val="0"/>
          <w:numId w:val="95"/>
        </w:numPr>
        <w:spacing w:after="120"/>
        <w:ind w:left="709" w:hanging="709"/>
        <w:jc w:val="both"/>
        <w:rPr>
          <w:bCs/>
        </w:rPr>
      </w:pPr>
      <w:r w:rsidRPr="008442F1">
        <w:rPr>
          <w:bCs/>
        </w:rPr>
        <w:t xml:space="preserve">At Quarter </w:t>
      </w:r>
      <w:r w:rsidR="00AF15CE">
        <w:rPr>
          <w:bCs/>
        </w:rPr>
        <w:t>2</w:t>
      </w:r>
      <w:r w:rsidRPr="008442F1">
        <w:rPr>
          <w:bCs/>
        </w:rPr>
        <w:t xml:space="preserve"> the forecast spent is £</w:t>
      </w:r>
      <w:r w:rsidR="008442F1" w:rsidRPr="00CB1B58">
        <w:rPr>
          <w:bCs/>
        </w:rPr>
        <w:t>8.293</w:t>
      </w:r>
      <w:r w:rsidRPr="008442F1">
        <w:rPr>
          <w:bCs/>
        </w:rPr>
        <w:t xml:space="preserve">m </w:t>
      </w:r>
      <w:r w:rsidR="006E19E9" w:rsidRPr="008442F1">
        <w:rPr>
          <w:bCs/>
        </w:rPr>
        <w:t xml:space="preserve">this represents </w:t>
      </w:r>
      <w:r w:rsidRPr="008442F1">
        <w:rPr>
          <w:bCs/>
        </w:rPr>
        <w:t>100</w:t>
      </w:r>
      <w:r w:rsidR="006E19E9" w:rsidRPr="008442F1">
        <w:rPr>
          <w:bCs/>
        </w:rPr>
        <w:t xml:space="preserve">% of the approved </w:t>
      </w:r>
      <w:r w:rsidRPr="008442F1">
        <w:rPr>
          <w:bCs/>
        </w:rPr>
        <w:t>capital programme.</w:t>
      </w:r>
    </w:p>
    <w:p w14:paraId="3633DB74" w14:textId="77777777" w:rsidR="00B06904" w:rsidRPr="008442F1" w:rsidRDefault="00B06904" w:rsidP="00BB0A57">
      <w:pPr>
        <w:pStyle w:val="ListParagraph"/>
        <w:spacing w:after="120"/>
        <w:ind w:left="709"/>
        <w:jc w:val="both"/>
        <w:rPr>
          <w:bCs/>
          <w:sz w:val="20"/>
          <w:u w:val="single"/>
        </w:rPr>
      </w:pPr>
    </w:p>
    <w:p w14:paraId="3BA18CFD" w14:textId="77777777" w:rsidR="00A13EEA" w:rsidRDefault="00A13EEA" w:rsidP="00BB0A57">
      <w:pPr>
        <w:pStyle w:val="ListParagraph"/>
        <w:spacing w:after="120"/>
        <w:ind w:left="709"/>
        <w:jc w:val="both"/>
        <w:rPr>
          <w:b/>
          <w:bCs/>
          <w:sz w:val="20"/>
        </w:rPr>
      </w:pPr>
    </w:p>
    <w:p w14:paraId="58A17F46" w14:textId="469C7DF1" w:rsidR="00B06904" w:rsidRPr="008442F1" w:rsidRDefault="00B06904" w:rsidP="00BB0A57">
      <w:pPr>
        <w:pStyle w:val="ListParagraph"/>
        <w:spacing w:after="120"/>
        <w:ind w:left="709"/>
        <w:jc w:val="both"/>
        <w:rPr>
          <w:b/>
          <w:bCs/>
          <w:sz w:val="20"/>
        </w:rPr>
      </w:pPr>
      <w:r w:rsidRPr="008442F1">
        <w:rPr>
          <w:b/>
          <w:bCs/>
          <w:sz w:val="20"/>
        </w:rPr>
        <w:t>SCHOOLS</w:t>
      </w:r>
    </w:p>
    <w:p w14:paraId="7672B2D4" w14:textId="6C5B7570" w:rsidR="009E08CE" w:rsidRPr="008442F1" w:rsidRDefault="009E08CE" w:rsidP="00CB1B58">
      <w:pPr>
        <w:pStyle w:val="ListParagraph"/>
        <w:numPr>
          <w:ilvl w:val="0"/>
          <w:numId w:val="95"/>
        </w:numPr>
        <w:spacing w:after="120"/>
        <w:ind w:left="709" w:hanging="709"/>
        <w:jc w:val="both"/>
        <w:rPr>
          <w:bCs/>
        </w:rPr>
      </w:pPr>
      <w:r w:rsidRPr="008442F1">
        <w:rPr>
          <w:bCs/>
        </w:rPr>
        <w:t>The approved capital programme in 2017-18 for Children’s Services totals £2</w:t>
      </w:r>
      <w:r w:rsidR="00C5236A">
        <w:rPr>
          <w:bCs/>
        </w:rPr>
        <w:t>5</w:t>
      </w:r>
      <w:r w:rsidRPr="008442F1">
        <w:rPr>
          <w:bCs/>
        </w:rPr>
        <w:t>.</w:t>
      </w:r>
      <w:r w:rsidR="008442F1" w:rsidRPr="00CB1B58">
        <w:rPr>
          <w:bCs/>
        </w:rPr>
        <w:t>115</w:t>
      </w:r>
      <w:r w:rsidRPr="008442F1">
        <w:rPr>
          <w:bCs/>
        </w:rPr>
        <w:t>m. The projected expenditure this year is £1</w:t>
      </w:r>
      <w:r w:rsidR="008442F1" w:rsidRPr="00CB1B58">
        <w:rPr>
          <w:bCs/>
        </w:rPr>
        <w:t>7.362</w:t>
      </w:r>
      <w:r w:rsidRPr="008442F1">
        <w:rPr>
          <w:bCs/>
        </w:rPr>
        <w:t xml:space="preserve">m which represents </w:t>
      </w:r>
      <w:r w:rsidR="008442F1" w:rsidRPr="008442F1">
        <w:rPr>
          <w:bCs/>
        </w:rPr>
        <w:t>6</w:t>
      </w:r>
      <w:r w:rsidR="00484944">
        <w:rPr>
          <w:bCs/>
        </w:rPr>
        <w:t>9</w:t>
      </w:r>
      <w:r w:rsidRPr="008442F1">
        <w:rPr>
          <w:bCs/>
        </w:rPr>
        <w:t>% of the total capital budget.</w:t>
      </w:r>
    </w:p>
    <w:p w14:paraId="703D861D" w14:textId="0BB5391C" w:rsidR="00001D6F" w:rsidRPr="00CB1B58" w:rsidRDefault="009E08CE" w:rsidP="00CB1B58">
      <w:pPr>
        <w:pStyle w:val="ListParagraph"/>
        <w:numPr>
          <w:ilvl w:val="0"/>
          <w:numId w:val="95"/>
        </w:numPr>
        <w:spacing w:after="120"/>
        <w:ind w:left="709" w:hanging="709"/>
        <w:jc w:val="both"/>
        <w:rPr>
          <w:b/>
          <w:bCs/>
        </w:rPr>
      </w:pPr>
      <w:r w:rsidRPr="003C0F6E">
        <w:rPr>
          <w:b/>
          <w:bCs/>
        </w:rPr>
        <w:t>School Expansion Programme (SEP) 1 and 2 (including some SEN and Secondary</w:t>
      </w:r>
      <w:r w:rsidR="00001D6F" w:rsidRPr="003C0F6E">
        <w:rPr>
          <w:rFonts w:eastAsia="Calibri" w:cs="Arial"/>
          <w:szCs w:val="24"/>
        </w:rPr>
        <w:t xml:space="preserve">) - </w:t>
      </w:r>
      <w:proofErr w:type="spellStart"/>
      <w:r w:rsidR="00001D6F" w:rsidRPr="00CB1B58">
        <w:rPr>
          <w:bCs/>
        </w:rPr>
        <w:t>Keepmoat</w:t>
      </w:r>
      <w:proofErr w:type="spellEnd"/>
      <w:r w:rsidR="00001D6F" w:rsidRPr="00CB1B58">
        <w:rPr>
          <w:bCs/>
        </w:rPr>
        <w:t>, the Council’s Framework Partner was commissioned to deliver the majority of the Phase 1 (SEP1) and Phase 2 (SEP2) construction projects.  The projects in SEP1 and SEP2 have reached Project Completion and the schools are occupying their new accommodation.</w:t>
      </w:r>
    </w:p>
    <w:p w14:paraId="7024BF90" w14:textId="77777777" w:rsidR="00001D6F" w:rsidRPr="00CB1B58" w:rsidRDefault="009E08CE" w:rsidP="00CB1B58">
      <w:pPr>
        <w:pStyle w:val="ListParagraph"/>
        <w:numPr>
          <w:ilvl w:val="0"/>
          <w:numId w:val="95"/>
        </w:numPr>
        <w:spacing w:after="120"/>
        <w:ind w:left="709" w:hanging="709"/>
        <w:jc w:val="both"/>
        <w:rPr>
          <w:b/>
          <w:bCs/>
        </w:rPr>
      </w:pPr>
      <w:r w:rsidRPr="003C0F6E">
        <w:rPr>
          <w:b/>
          <w:bCs/>
        </w:rPr>
        <w:t xml:space="preserve"> </w:t>
      </w:r>
      <w:r w:rsidR="00001D6F" w:rsidRPr="00CB1B58">
        <w:rPr>
          <w:bCs/>
        </w:rPr>
        <w:t xml:space="preserve">The Children’s Capital Project Team is working to resolve a number of building defects with </w:t>
      </w:r>
      <w:proofErr w:type="spellStart"/>
      <w:r w:rsidR="00001D6F" w:rsidRPr="00CB1B58">
        <w:rPr>
          <w:bCs/>
        </w:rPr>
        <w:t>Keepmoat</w:t>
      </w:r>
      <w:proofErr w:type="spellEnd"/>
      <w:r w:rsidR="00001D6F" w:rsidRPr="00CB1B58">
        <w:rPr>
          <w:bCs/>
        </w:rPr>
        <w:t xml:space="preserve"> post completion. There are on-going contractual issues with </w:t>
      </w:r>
      <w:proofErr w:type="spellStart"/>
      <w:r w:rsidR="00001D6F" w:rsidRPr="00CB1B58">
        <w:rPr>
          <w:bCs/>
        </w:rPr>
        <w:t>Keepmoat</w:t>
      </w:r>
      <w:proofErr w:type="spellEnd"/>
      <w:r w:rsidR="00001D6F" w:rsidRPr="00CB1B58">
        <w:rPr>
          <w:bCs/>
        </w:rPr>
        <w:t xml:space="preserve"> and the council has appointed Legal and Commercial advisers to secure resolution. For the purposes of budget monitoring these programmes are forecast to budget but there is a risk to the capital programme that the final outturn is higher than the budget</w:t>
      </w:r>
      <w:r w:rsidR="00001D6F" w:rsidRPr="00CB1B58">
        <w:rPr>
          <w:b/>
          <w:bCs/>
        </w:rPr>
        <w:t>.</w:t>
      </w:r>
    </w:p>
    <w:p w14:paraId="5B37DA44" w14:textId="6C84B09B" w:rsidR="00B06904" w:rsidRPr="00CB1B58" w:rsidRDefault="00B06904" w:rsidP="00CB1B58"/>
    <w:p w14:paraId="07EA86A9" w14:textId="77777777" w:rsidR="00001D6F" w:rsidRPr="00CB1B58" w:rsidRDefault="009C30DF" w:rsidP="00CB1B58">
      <w:pPr>
        <w:pStyle w:val="ListParagraph"/>
        <w:numPr>
          <w:ilvl w:val="0"/>
          <w:numId w:val="95"/>
        </w:numPr>
        <w:ind w:left="788" w:hanging="788"/>
        <w:jc w:val="both"/>
        <w:rPr>
          <w:rFonts w:cs="Arial"/>
          <w:szCs w:val="24"/>
        </w:rPr>
      </w:pPr>
      <w:r w:rsidRPr="003C0F6E">
        <w:rPr>
          <w:rFonts w:cs="Arial"/>
          <w:b/>
          <w:szCs w:val="24"/>
        </w:rPr>
        <w:t>SEP 3</w:t>
      </w:r>
      <w:r w:rsidR="000C088B" w:rsidRPr="003C0F6E">
        <w:rPr>
          <w:rFonts w:cs="Arial"/>
          <w:b/>
          <w:szCs w:val="24"/>
        </w:rPr>
        <w:t xml:space="preserve"> </w:t>
      </w:r>
      <w:r w:rsidRPr="003C0F6E">
        <w:rPr>
          <w:rFonts w:cs="Arial"/>
          <w:b/>
          <w:szCs w:val="24"/>
        </w:rPr>
        <w:t xml:space="preserve">- </w:t>
      </w:r>
      <w:r w:rsidR="00001D6F" w:rsidRPr="00CB1B58">
        <w:rPr>
          <w:rFonts w:cs="Arial"/>
          <w:szCs w:val="24"/>
        </w:rPr>
        <w:t xml:space="preserve">Following procurement processes, </w:t>
      </w:r>
      <w:proofErr w:type="spellStart"/>
      <w:r w:rsidR="00001D6F" w:rsidRPr="00CB1B58">
        <w:rPr>
          <w:rFonts w:cs="Arial"/>
          <w:szCs w:val="24"/>
        </w:rPr>
        <w:t>Arcadis</w:t>
      </w:r>
      <w:proofErr w:type="spellEnd"/>
      <w:r w:rsidR="00001D6F" w:rsidRPr="00CB1B58">
        <w:rPr>
          <w:rFonts w:cs="Arial"/>
          <w:szCs w:val="24"/>
        </w:rPr>
        <w:t xml:space="preserve"> were appointed as Technical Advisers and </w:t>
      </w:r>
      <w:proofErr w:type="spellStart"/>
      <w:r w:rsidR="00001D6F" w:rsidRPr="00CB1B58">
        <w:rPr>
          <w:rFonts w:cs="Arial"/>
          <w:szCs w:val="24"/>
        </w:rPr>
        <w:t>Willmott</w:t>
      </w:r>
      <w:proofErr w:type="spellEnd"/>
      <w:r w:rsidR="00001D6F" w:rsidRPr="00CB1B58">
        <w:rPr>
          <w:rFonts w:cs="Arial"/>
          <w:szCs w:val="24"/>
        </w:rPr>
        <w:t xml:space="preserve"> Dixon as the single supplier from the SCAPE framework for the SEP3 projects.  The SCAPE framework is local authority owned and specialises in school construction. There are four school expansions over five school sites. Four of the projects are completed and the final scheme is scheduled to commence in February 2018. The majority of this project will therefore slip into 2018-19. In addition, Weald Rise is being rebuilt by the Priority Schools Building Programme (PSBP) and the LA is providing a top up to expand the school to 4 forms of entry.</w:t>
      </w:r>
    </w:p>
    <w:p w14:paraId="140688EB" w14:textId="4CFA860A" w:rsidR="009C30DF" w:rsidRPr="00CB1B58" w:rsidRDefault="00001D6F" w:rsidP="00CB1B58">
      <w:pPr>
        <w:pStyle w:val="ListParagraph"/>
        <w:ind w:left="788"/>
        <w:jc w:val="both"/>
        <w:rPr>
          <w:rFonts w:cs="Arial"/>
          <w:b/>
          <w:szCs w:val="24"/>
          <w:highlight w:val="yellow"/>
        </w:rPr>
      </w:pPr>
      <w:r>
        <w:rPr>
          <w:rFonts w:cs="Arial"/>
          <w:b/>
          <w:szCs w:val="24"/>
          <w:highlight w:val="yellow"/>
        </w:rPr>
        <w:t xml:space="preserve"> </w:t>
      </w:r>
    </w:p>
    <w:p w14:paraId="622FD182" w14:textId="77777777" w:rsidR="00746A92" w:rsidRDefault="00746A92" w:rsidP="009C30DF">
      <w:pPr>
        <w:ind w:firstLine="720"/>
        <w:rPr>
          <w:rFonts w:cs="Arial"/>
          <w:b/>
          <w:szCs w:val="24"/>
        </w:rPr>
      </w:pPr>
    </w:p>
    <w:p w14:paraId="5F8547AF" w14:textId="77777777" w:rsidR="00746A92" w:rsidRDefault="00746A92" w:rsidP="009C30DF">
      <w:pPr>
        <w:ind w:firstLine="720"/>
        <w:rPr>
          <w:rFonts w:cs="Arial"/>
          <w:b/>
          <w:szCs w:val="24"/>
        </w:rPr>
      </w:pPr>
    </w:p>
    <w:p w14:paraId="171BEE27" w14:textId="77777777" w:rsidR="00746A92" w:rsidRDefault="00746A92" w:rsidP="009C30DF">
      <w:pPr>
        <w:ind w:firstLine="720"/>
        <w:rPr>
          <w:rFonts w:cs="Arial"/>
          <w:b/>
          <w:szCs w:val="24"/>
        </w:rPr>
      </w:pPr>
    </w:p>
    <w:p w14:paraId="3670D911" w14:textId="77777777" w:rsidR="009C30DF" w:rsidRPr="003C0F6E" w:rsidRDefault="009C30DF" w:rsidP="009C30DF">
      <w:pPr>
        <w:ind w:firstLine="720"/>
        <w:rPr>
          <w:rFonts w:cs="Arial"/>
          <w:b/>
          <w:szCs w:val="24"/>
        </w:rPr>
      </w:pPr>
      <w:r w:rsidRPr="003C0F6E">
        <w:rPr>
          <w:rFonts w:cs="Arial"/>
          <w:b/>
          <w:szCs w:val="24"/>
        </w:rPr>
        <w:t>Slippage</w:t>
      </w:r>
    </w:p>
    <w:p w14:paraId="5ACAF56D" w14:textId="77777777" w:rsidR="009C30DF" w:rsidRPr="003C0F6E" w:rsidRDefault="009C30DF" w:rsidP="00BB0A57">
      <w:pPr>
        <w:rPr>
          <w:rFonts w:cs="Arial"/>
          <w:b/>
          <w:szCs w:val="24"/>
        </w:rPr>
      </w:pPr>
    </w:p>
    <w:p w14:paraId="2033F717" w14:textId="2158CA74" w:rsidR="00001D6F" w:rsidRPr="00CB1B58" w:rsidRDefault="00001D6F" w:rsidP="00CB1B58">
      <w:pPr>
        <w:pStyle w:val="ListParagraph"/>
        <w:numPr>
          <w:ilvl w:val="0"/>
          <w:numId w:val="95"/>
        </w:numPr>
        <w:ind w:left="788" w:hanging="788"/>
        <w:jc w:val="both"/>
        <w:rPr>
          <w:rFonts w:cs="Arial"/>
          <w:szCs w:val="24"/>
        </w:rPr>
      </w:pPr>
      <w:r w:rsidRPr="00CB1B58">
        <w:rPr>
          <w:rFonts w:cs="Arial"/>
          <w:szCs w:val="24"/>
        </w:rPr>
        <w:t xml:space="preserve">The total slippage is </w:t>
      </w:r>
      <w:r w:rsidR="00C5236A">
        <w:rPr>
          <w:rFonts w:cs="Arial"/>
          <w:szCs w:val="24"/>
        </w:rPr>
        <w:t>(</w:t>
      </w:r>
      <w:r w:rsidRPr="00CB1B58">
        <w:rPr>
          <w:rFonts w:cs="Arial"/>
          <w:szCs w:val="24"/>
        </w:rPr>
        <w:t>£7.752m</w:t>
      </w:r>
      <w:r w:rsidR="00C5236A">
        <w:rPr>
          <w:rFonts w:cs="Arial"/>
          <w:szCs w:val="24"/>
        </w:rPr>
        <w:t>)</w:t>
      </w:r>
      <w:r w:rsidRPr="00CB1B58">
        <w:rPr>
          <w:rFonts w:cs="Arial"/>
          <w:szCs w:val="24"/>
        </w:rPr>
        <w:t xml:space="preserve">. Of this, £3.150m relates to funding set aside for secondary expansions. As reported to Cabinet in June 2017 the projections for Year 7 places continue to show a lower trajectory of increase than the 2015 projections. With the current number of places available there will be a shortfall of 4 to 5 forms of entry in 2022/23. This reduces to 3-5 forms of entry in 2027/28. However, at this time there are a higher number of Year 7 places than required which is resulting in vacancies being concentrated in a small number of </w:t>
      </w:r>
      <w:proofErr w:type="gramStart"/>
      <w:r w:rsidRPr="00CB1B58">
        <w:rPr>
          <w:rFonts w:cs="Arial"/>
          <w:szCs w:val="24"/>
        </w:rPr>
        <w:t>schools.</w:t>
      </w:r>
      <w:proofErr w:type="gramEnd"/>
      <w:r w:rsidRPr="00CB1B58">
        <w:rPr>
          <w:rFonts w:cs="Arial"/>
          <w:szCs w:val="24"/>
        </w:rPr>
        <w:t xml:space="preserve"> It is proposed to slip the funding to 2019-20 and ensure that the situation is monitored and that once there is greater clarity about changes on the borough boundaries that a local solution to meet the growing need is developed with the High Schools.</w:t>
      </w:r>
    </w:p>
    <w:p w14:paraId="5B44D183" w14:textId="77777777" w:rsidR="00001D6F" w:rsidRPr="00CB1B58" w:rsidRDefault="00001D6F" w:rsidP="00CB1B58">
      <w:pPr>
        <w:pStyle w:val="ListParagraph"/>
        <w:ind w:left="788"/>
        <w:jc w:val="both"/>
        <w:rPr>
          <w:rFonts w:cs="Arial"/>
          <w:szCs w:val="24"/>
        </w:rPr>
      </w:pPr>
    </w:p>
    <w:p w14:paraId="4A5002FC" w14:textId="77777777" w:rsidR="00001D6F" w:rsidRPr="00CB1B58" w:rsidRDefault="00001D6F" w:rsidP="00CB1B58">
      <w:pPr>
        <w:pStyle w:val="ListParagraph"/>
        <w:numPr>
          <w:ilvl w:val="0"/>
          <w:numId w:val="95"/>
        </w:numPr>
        <w:ind w:left="788" w:hanging="788"/>
        <w:jc w:val="both"/>
        <w:rPr>
          <w:rFonts w:cs="Arial"/>
          <w:szCs w:val="24"/>
        </w:rPr>
      </w:pPr>
      <w:r w:rsidRPr="00CB1B58">
        <w:rPr>
          <w:rFonts w:cs="Arial"/>
          <w:szCs w:val="24"/>
        </w:rPr>
        <w:t xml:space="preserve">SEP3 slippage totals £3.9m. This is the final project in SEP3 and relates to </w:t>
      </w:r>
      <w:proofErr w:type="spellStart"/>
      <w:r w:rsidRPr="00CB1B58">
        <w:rPr>
          <w:rFonts w:cs="Arial"/>
          <w:szCs w:val="24"/>
        </w:rPr>
        <w:t>Welldon</w:t>
      </w:r>
      <w:proofErr w:type="spellEnd"/>
      <w:r w:rsidRPr="00CB1B58">
        <w:rPr>
          <w:rFonts w:cs="Arial"/>
          <w:szCs w:val="24"/>
        </w:rPr>
        <w:t xml:space="preserve"> Park Junior School. Work is anticipated to start on site in February 2018 and completed by October/November 2018. The slippage does not impact on the school as the expanded year groups are still working through the infant school which is on a different site.</w:t>
      </w:r>
    </w:p>
    <w:p w14:paraId="7CCAD4E3" w14:textId="77777777" w:rsidR="00001D6F" w:rsidRPr="00CB1B58" w:rsidRDefault="00001D6F" w:rsidP="00CB1B58">
      <w:pPr>
        <w:pStyle w:val="ListParagraph"/>
        <w:ind w:left="788"/>
        <w:jc w:val="both"/>
        <w:rPr>
          <w:rFonts w:cs="Arial"/>
          <w:szCs w:val="24"/>
        </w:rPr>
      </w:pPr>
    </w:p>
    <w:p w14:paraId="5B257D33" w14:textId="0C55FD6E" w:rsidR="00001D6F" w:rsidRDefault="00001D6F" w:rsidP="00CB1B58">
      <w:pPr>
        <w:pStyle w:val="ListParagraph"/>
        <w:numPr>
          <w:ilvl w:val="0"/>
          <w:numId w:val="95"/>
        </w:numPr>
        <w:ind w:left="788" w:hanging="788"/>
        <w:jc w:val="both"/>
        <w:rPr>
          <w:rFonts w:cs="Arial"/>
          <w:szCs w:val="24"/>
        </w:rPr>
      </w:pPr>
      <w:r w:rsidRPr="00CB1B58">
        <w:rPr>
          <w:rFonts w:cs="Arial"/>
          <w:szCs w:val="24"/>
        </w:rPr>
        <w:t>The remainder of the slippage is for IT and funding for bulge classes which are not anticipated to be needed this financial year.</w:t>
      </w:r>
    </w:p>
    <w:p w14:paraId="42EA2506" w14:textId="77777777" w:rsidR="00AE54DB" w:rsidRDefault="00AE54DB" w:rsidP="00CB1B58">
      <w:pPr>
        <w:pStyle w:val="ListParagraph"/>
        <w:rPr>
          <w:rFonts w:cs="Arial"/>
          <w:szCs w:val="24"/>
        </w:rPr>
      </w:pPr>
    </w:p>
    <w:p w14:paraId="3C359A56" w14:textId="77777777" w:rsidR="007C155F" w:rsidRDefault="007C155F" w:rsidP="00CB1B58">
      <w:pPr>
        <w:pStyle w:val="ListParagraph"/>
        <w:rPr>
          <w:rFonts w:cs="Arial"/>
          <w:szCs w:val="24"/>
        </w:rPr>
      </w:pPr>
    </w:p>
    <w:p w14:paraId="6F6EBC57" w14:textId="77777777" w:rsidR="007C155F" w:rsidRPr="009F4A02" w:rsidRDefault="007C155F" w:rsidP="00CB1B58">
      <w:pPr>
        <w:pStyle w:val="ListParagraph"/>
        <w:rPr>
          <w:rFonts w:cs="Arial"/>
          <w:szCs w:val="24"/>
        </w:rPr>
      </w:pPr>
    </w:p>
    <w:p w14:paraId="6E04A2E5" w14:textId="5E3F579D" w:rsidR="00AE54DB" w:rsidRPr="00CB1B58" w:rsidRDefault="00C5236A" w:rsidP="00CB1B58">
      <w:pPr>
        <w:pStyle w:val="ListParagraph"/>
        <w:ind w:left="788"/>
        <w:jc w:val="both"/>
        <w:rPr>
          <w:rFonts w:cs="Arial"/>
          <w:b/>
          <w:szCs w:val="24"/>
          <w:u w:val="single"/>
        </w:rPr>
      </w:pPr>
      <w:r>
        <w:rPr>
          <w:rFonts w:cs="Arial"/>
          <w:b/>
          <w:szCs w:val="24"/>
          <w:u w:val="single"/>
        </w:rPr>
        <w:t>R</w:t>
      </w:r>
      <w:r w:rsidR="00AE54DB" w:rsidRPr="00CB1B58">
        <w:rPr>
          <w:rFonts w:cs="Arial"/>
          <w:b/>
          <w:szCs w:val="24"/>
          <w:u w:val="single"/>
        </w:rPr>
        <w:t>EGENERATION</w:t>
      </w:r>
    </w:p>
    <w:p w14:paraId="5C1F21B3" w14:textId="77777777" w:rsidR="00AE54DB" w:rsidRPr="00CB1B58" w:rsidRDefault="00AE54DB" w:rsidP="00CB1B58">
      <w:pPr>
        <w:pStyle w:val="ListParagraph"/>
        <w:rPr>
          <w:rFonts w:cs="Arial"/>
          <w:b/>
          <w:szCs w:val="24"/>
        </w:rPr>
      </w:pPr>
    </w:p>
    <w:p w14:paraId="7F683751" w14:textId="18405392" w:rsidR="00AE54DB" w:rsidRPr="00B047D0" w:rsidRDefault="0088709D" w:rsidP="008F1A2F">
      <w:pPr>
        <w:pStyle w:val="ListParagraph"/>
        <w:numPr>
          <w:ilvl w:val="0"/>
          <w:numId w:val="95"/>
        </w:numPr>
        <w:ind w:left="709" w:hanging="928"/>
        <w:jc w:val="both"/>
        <w:rPr>
          <w:rFonts w:cs="Arial"/>
          <w:szCs w:val="24"/>
        </w:rPr>
      </w:pPr>
      <w:r>
        <w:rPr>
          <w:rFonts w:cs="Arial"/>
          <w:szCs w:val="24"/>
        </w:rPr>
        <w:t>At quarter</w:t>
      </w:r>
      <w:r w:rsidRPr="00B047D0">
        <w:rPr>
          <w:rFonts w:cs="Arial"/>
          <w:szCs w:val="24"/>
        </w:rPr>
        <w:t xml:space="preserve"> 2 the regeneration programme is showing a balanced outturn position.</w:t>
      </w:r>
      <w:r>
        <w:rPr>
          <w:rFonts w:cs="Arial"/>
          <w:szCs w:val="24"/>
        </w:rPr>
        <w:t xml:space="preserve"> </w:t>
      </w:r>
      <w:r w:rsidRPr="00B047D0">
        <w:rPr>
          <w:rFonts w:cs="Arial"/>
          <w:szCs w:val="24"/>
        </w:rPr>
        <w:t>The regeneration programme will be coming to February 2018 cabinet with a revised programme budget following the outcome of the commercial and financial review.</w:t>
      </w:r>
      <w:r w:rsidR="00944483" w:rsidRPr="0013304F">
        <w:rPr>
          <w:rFonts w:cs="Arial"/>
          <w:szCs w:val="24"/>
        </w:rPr>
        <w:t xml:space="preserve"> </w:t>
      </w:r>
    </w:p>
    <w:p w14:paraId="03E0F7B4" w14:textId="77777777" w:rsidR="0088709D" w:rsidRDefault="0088709D" w:rsidP="00B047D0">
      <w:pPr>
        <w:pStyle w:val="ListParagraph"/>
        <w:ind w:left="788"/>
        <w:jc w:val="both"/>
        <w:rPr>
          <w:rFonts w:cs="Arial"/>
          <w:b/>
          <w:szCs w:val="24"/>
        </w:rPr>
      </w:pPr>
    </w:p>
    <w:p w14:paraId="057D056B" w14:textId="77777777" w:rsidR="00C5236A" w:rsidRDefault="00C5236A" w:rsidP="00CB1B58">
      <w:pPr>
        <w:pStyle w:val="ListParagraph"/>
        <w:ind w:left="788"/>
        <w:jc w:val="both"/>
        <w:rPr>
          <w:rFonts w:cs="Arial"/>
          <w:b/>
          <w:szCs w:val="24"/>
          <w:u w:val="single"/>
        </w:rPr>
      </w:pPr>
    </w:p>
    <w:p w14:paraId="1F82D16E" w14:textId="09E69811" w:rsidR="00C304F0" w:rsidRDefault="00C304F0" w:rsidP="00CB1B58">
      <w:pPr>
        <w:pStyle w:val="ListParagraph"/>
        <w:ind w:left="788"/>
        <w:jc w:val="both"/>
        <w:rPr>
          <w:rFonts w:cs="Arial"/>
          <w:b/>
          <w:szCs w:val="24"/>
          <w:u w:val="single"/>
        </w:rPr>
      </w:pPr>
      <w:r w:rsidRPr="00CB1B58">
        <w:rPr>
          <w:rFonts w:cs="Arial"/>
          <w:b/>
          <w:szCs w:val="24"/>
          <w:u w:val="single"/>
        </w:rPr>
        <w:t>HRA</w:t>
      </w:r>
    </w:p>
    <w:p w14:paraId="5ACC9BC7" w14:textId="77777777" w:rsidR="009F4A02" w:rsidRPr="00CB1B58" w:rsidRDefault="009F4A02" w:rsidP="00CB1B58">
      <w:pPr>
        <w:pStyle w:val="ListParagraph"/>
        <w:ind w:left="788"/>
        <w:jc w:val="both"/>
        <w:rPr>
          <w:rFonts w:cs="Arial"/>
          <w:b/>
          <w:szCs w:val="24"/>
          <w:u w:val="single"/>
        </w:rPr>
      </w:pPr>
    </w:p>
    <w:p w14:paraId="0D80310E" w14:textId="1279858F" w:rsidR="00C304F0" w:rsidRDefault="009F4A02" w:rsidP="0006759A">
      <w:pPr>
        <w:pStyle w:val="ListParagraph"/>
        <w:numPr>
          <w:ilvl w:val="0"/>
          <w:numId w:val="95"/>
        </w:numPr>
        <w:ind w:left="709" w:hanging="928"/>
        <w:jc w:val="both"/>
        <w:rPr>
          <w:rFonts w:cs="Arial"/>
          <w:szCs w:val="24"/>
        </w:rPr>
      </w:pPr>
      <w:r w:rsidRPr="00CB1B58">
        <w:rPr>
          <w:rFonts w:cs="Arial"/>
          <w:szCs w:val="24"/>
        </w:rPr>
        <w:t>At Quarter 2, outturn forecast for Housin</w:t>
      </w:r>
      <w:r w:rsidR="008B4D29">
        <w:rPr>
          <w:rFonts w:cs="Arial"/>
          <w:szCs w:val="24"/>
        </w:rPr>
        <w:t>g Revenue Account is £15.887m (Qtr</w:t>
      </w:r>
      <w:r w:rsidRPr="00CB1B58">
        <w:rPr>
          <w:rFonts w:cs="Arial"/>
          <w:szCs w:val="24"/>
        </w:rPr>
        <w:t>1, £13.830m) resultin</w:t>
      </w:r>
      <w:r w:rsidR="008B4D29">
        <w:rPr>
          <w:rFonts w:cs="Arial"/>
          <w:szCs w:val="24"/>
        </w:rPr>
        <w:t>g in forecast under spend (£16.569m)</w:t>
      </w:r>
      <w:r w:rsidR="004848F3">
        <w:rPr>
          <w:rFonts w:cs="Arial"/>
          <w:szCs w:val="24"/>
        </w:rPr>
        <w:t xml:space="preserve"> of which £</w:t>
      </w:r>
      <w:r w:rsidR="008B4D29">
        <w:rPr>
          <w:rFonts w:cs="Arial"/>
          <w:szCs w:val="24"/>
        </w:rPr>
        <w:t>14.60</w:t>
      </w:r>
      <w:r w:rsidR="004848F3">
        <w:rPr>
          <w:rFonts w:cs="Arial"/>
          <w:szCs w:val="24"/>
        </w:rPr>
        <w:t>6</w:t>
      </w:r>
      <w:r w:rsidR="008B4D29">
        <w:rPr>
          <w:rFonts w:cs="Arial"/>
          <w:szCs w:val="24"/>
        </w:rPr>
        <w:t xml:space="preserve">m will be slipped into 2018/19 and £1.964m will be removed from the programme. </w:t>
      </w:r>
    </w:p>
    <w:p w14:paraId="4B9A35A6" w14:textId="77777777" w:rsidR="004848F3" w:rsidRPr="00CB1B58" w:rsidRDefault="004848F3" w:rsidP="00CB1B58">
      <w:pPr>
        <w:pStyle w:val="ListParagraph"/>
        <w:ind w:left="788"/>
        <w:jc w:val="both"/>
        <w:rPr>
          <w:rFonts w:cs="Arial"/>
          <w:szCs w:val="24"/>
        </w:rPr>
      </w:pPr>
    </w:p>
    <w:p w14:paraId="54A7DB51" w14:textId="28DEAD49" w:rsidR="009F4A02" w:rsidRDefault="009F4A02" w:rsidP="0006759A">
      <w:pPr>
        <w:pStyle w:val="ListParagraph"/>
        <w:numPr>
          <w:ilvl w:val="0"/>
          <w:numId w:val="95"/>
        </w:numPr>
        <w:ind w:left="709" w:hanging="993"/>
        <w:jc w:val="both"/>
        <w:rPr>
          <w:rFonts w:cs="Arial"/>
          <w:szCs w:val="24"/>
        </w:rPr>
      </w:pPr>
      <w:r w:rsidRPr="009F4A02">
        <w:rPr>
          <w:rFonts w:cs="Arial"/>
          <w:szCs w:val="24"/>
        </w:rPr>
        <w:t xml:space="preserve">HRA main planned investment programme </w:t>
      </w:r>
      <w:r w:rsidR="008B4D29">
        <w:rPr>
          <w:rFonts w:cs="Arial"/>
          <w:szCs w:val="24"/>
        </w:rPr>
        <w:t xml:space="preserve">is </w:t>
      </w:r>
      <w:r w:rsidRPr="009F4A02">
        <w:rPr>
          <w:rFonts w:cs="Arial"/>
          <w:szCs w:val="24"/>
        </w:rPr>
        <w:t>slipp</w:t>
      </w:r>
      <w:r w:rsidR="008B4D29">
        <w:rPr>
          <w:rFonts w:cs="Arial"/>
          <w:szCs w:val="24"/>
        </w:rPr>
        <w:t>ing</w:t>
      </w:r>
      <w:r w:rsidRPr="009F4A02">
        <w:rPr>
          <w:rFonts w:cs="Arial"/>
          <w:szCs w:val="24"/>
        </w:rPr>
        <w:t xml:space="preserve"> </w:t>
      </w:r>
      <w:r w:rsidR="008B4D29" w:rsidRPr="009F4A02">
        <w:rPr>
          <w:rFonts w:cs="Arial"/>
          <w:szCs w:val="24"/>
        </w:rPr>
        <w:t xml:space="preserve">estimated </w:t>
      </w:r>
      <w:r w:rsidR="008B4D29">
        <w:rPr>
          <w:rFonts w:cs="Arial"/>
          <w:szCs w:val="24"/>
        </w:rPr>
        <w:t xml:space="preserve">£1.1m and </w:t>
      </w:r>
      <w:r w:rsidR="008B4D29" w:rsidRPr="009F4A02">
        <w:rPr>
          <w:rFonts w:cs="Arial"/>
          <w:szCs w:val="24"/>
        </w:rPr>
        <w:t>under spen</w:t>
      </w:r>
      <w:r w:rsidR="008B4D29">
        <w:rPr>
          <w:rFonts w:cs="Arial"/>
          <w:szCs w:val="24"/>
        </w:rPr>
        <w:t>ding</w:t>
      </w:r>
      <w:r w:rsidR="00E36CA7">
        <w:rPr>
          <w:rFonts w:cs="Arial"/>
          <w:szCs w:val="24"/>
        </w:rPr>
        <w:t xml:space="preserve"> </w:t>
      </w:r>
      <w:r w:rsidR="008B4D29">
        <w:rPr>
          <w:rFonts w:cs="Arial"/>
          <w:szCs w:val="24"/>
        </w:rPr>
        <w:t xml:space="preserve">by </w:t>
      </w:r>
      <w:r w:rsidRPr="009F4A02">
        <w:rPr>
          <w:rFonts w:cs="Arial"/>
          <w:szCs w:val="24"/>
        </w:rPr>
        <w:t>£1.964m</w:t>
      </w:r>
      <w:r w:rsidR="008B4D29">
        <w:rPr>
          <w:rFonts w:cs="Arial"/>
          <w:szCs w:val="24"/>
        </w:rPr>
        <w:t>. The implication of</w:t>
      </w:r>
      <w:r w:rsidR="00E36CA7">
        <w:rPr>
          <w:rFonts w:cs="Arial"/>
          <w:szCs w:val="24"/>
        </w:rPr>
        <w:t xml:space="preserve"> the</w:t>
      </w:r>
      <w:r w:rsidR="008B4D29">
        <w:rPr>
          <w:rFonts w:cs="Arial"/>
          <w:szCs w:val="24"/>
        </w:rPr>
        <w:t xml:space="preserve"> </w:t>
      </w:r>
      <w:r w:rsidR="00E36CA7">
        <w:rPr>
          <w:rFonts w:cs="Arial"/>
          <w:szCs w:val="24"/>
        </w:rPr>
        <w:t xml:space="preserve">£1.964m </w:t>
      </w:r>
      <w:r w:rsidR="008B4D29">
        <w:rPr>
          <w:rFonts w:cs="Arial"/>
          <w:szCs w:val="24"/>
        </w:rPr>
        <w:t xml:space="preserve">underspend is that </w:t>
      </w:r>
      <w:r w:rsidRPr="009F4A02">
        <w:rPr>
          <w:rFonts w:cs="Arial"/>
          <w:szCs w:val="24"/>
        </w:rPr>
        <w:t>some improvement schemes</w:t>
      </w:r>
      <w:r w:rsidR="008B4D29">
        <w:rPr>
          <w:rFonts w:cs="Arial"/>
          <w:szCs w:val="24"/>
        </w:rPr>
        <w:t xml:space="preserve"> affecting Council tenants will be</w:t>
      </w:r>
      <w:r w:rsidRPr="009F4A02">
        <w:rPr>
          <w:rFonts w:cs="Arial"/>
          <w:szCs w:val="24"/>
        </w:rPr>
        <w:t xml:space="preserve"> delayed although priority</w:t>
      </w:r>
      <w:r w:rsidR="00E36CA7">
        <w:rPr>
          <w:rFonts w:cs="Arial"/>
          <w:szCs w:val="24"/>
        </w:rPr>
        <w:t xml:space="preserve"> is</w:t>
      </w:r>
      <w:r w:rsidRPr="009F4A02">
        <w:rPr>
          <w:rFonts w:cs="Arial"/>
          <w:szCs w:val="24"/>
        </w:rPr>
        <w:t xml:space="preserve"> given to mandatory Health &amp; Safety works and statutory works; the slippage of £1.1m relates to contractually committed expenditure which will all be spent in 2018-19</w:t>
      </w:r>
      <w:r>
        <w:rPr>
          <w:rFonts w:cs="Arial"/>
          <w:szCs w:val="24"/>
        </w:rPr>
        <w:t>.</w:t>
      </w:r>
    </w:p>
    <w:p w14:paraId="53C25327" w14:textId="77777777" w:rsidR="004848F3" w:rsidRPr="000B0B9B" w:rsidRDefault="004848F3" w:rsidP="00CB1B58">
      <w:pPr>
        <w:pStyle w:val="ListParagraph"/>
        <w:rPr>
          <w:rFonts w:cs="Arial"/>
          <w:szCs w:val="24"/>
        </w:rPr>
      </w:pPr>
    </w:p>
    <w:p w14:paraId="56EE1B91" w14:textId="4369F902" w:rsidR="009F4A02" w:rsidRPr="00CB1B58" w:rsidRDefault="009F4A02" w:rsidP="0006759A">
      <w:pPr>
        <w:pStyle w:val="ListParagraph"/>
        <w:numPr>
          <w:ilvl w:val="0"/>
          <w:numId w:val="95"/>
        </w:numPr>
        <w:ind w:left="709" w:hanging="928"/>
        <w:jc w:val="both"/>
        <w:rPr>
          <w:rFonts w:cs="Arial"/>
          <w:szCs w:val="24"/>
        </w:rPr>
      </w:pPr>
      <w:r w:rsidRPr="009F4A02">
        <w:rPr>
          <w:rFonts w:cs="Arial"/>
          <w:szCs w:val="24"/>
        </w:rPr>
        <w:t>Remaining slippage of £13.505m relates to Grange Farm Regeneration scheme and Infill New Build scheme, arising from delays in planning and procurement. This will result in delays in providing new houses in Council’s HRA to replace those lost through right to buys, and delivery of regenerated Grange Farm Estate</w:t>
      </w:r>
      <w:r>
        <w:rPr>
          <w:rFonts w:cs="Arial"/>
          <w:szCs w:val="24"/>
        </w:rPr>
        <w:t>.</w:t>
      </w:r>
    </w:p>
    <w:p w14:paraId="3B1D6E68" w14:textId="77777777" w:rsidR="00001D6F" w:rsidRPr="009F4A02" w:rsidRDefault="00001D6F" w:rsidP="00CB1B58">
      <w:pPr>
        <w:pStyle w:val="ListParagraph"/>
        <w:rPr>
          <w:rFonts w:cs="Arial"/>
          <w:szCs w:val="24"/>
          <w:highlight w:val="yellow"/>
        </w:rPr>
      </w:pPr>
    </w:p>
    <w:p w14:paraId="35C9A00C" w14:textId="77777777" w:rsidR="00C02097" w:rsidRDefault="00C02097" w:rsidP="00BB0A57">
      <w:pPr>
        <w:pStyle w:val="ListParagraph"/>
        <w:rPr>
          <w:rFonts w:cs="Arial"/>
          <w:szCs w:val="24"/>
          <w:highlight w:val="yellow"/>
        </w:rPr>
      </w:pPr>
    </w:p>
    <w:p w14:paraId="20C56AA8" w14:textId="77777777" w:rsidR="00E210B9" w:rsidRPr="00CB1B58" w:rsidRDefault="00E210B9" w:rsidP="001E2D71">
      <w:pPr>
        <w:pStyle w:val="ListParagraph"/>
        <w:ind w:left="709"/>
        <w:rPr>
          <w:rFonts w:cs="Arial"/>
          <w:b/>
          <w:szCs w:val="24"/>
          <w:highlight w:val="yellow"/>
        </w:rPr>
      </w:pPr>
    </w:p>
    <w:p w14:paraId="335579A1" w14:textId="6E24B7EA" w:rsidR="001E2D71" w:rsidRPr="00C02097" w:rsidRDefault="001E2D71" w:rsidP="001E2D71">
      <w:pPr>
        <w:pStyle w:val="ListParagraph"/>
        <w:ind w:left="709"/>
        <w:rPr>
          <w:rFonts w:cs="Arial"/>
          <w:b/>
          <w:szCs w:val="24"/>
        </w:rPr>
      </w:pPr>
      <w:r w:rsidRPr="00C02097">
        <w:rPr>
          <w:rFonts w:cs="Arial"/>
          <w:b/>
          <w:szCs w:val="24"/>
        </w:rPr>
        <w:t>AMENDMENT</w:t>
      </w:r>
      <w:r w:rsidR="006A0DA8" w:rsidRPr="00C02097">
        <w:rPr>
          <w:rFonts w:cs="Arial"/>
          <w:b/>
          <w:szCs w:val="24"/>
        </w:rPr>
        <w:t>S</w:t>
      </w:r>
      <w:r w:rsidRPr="00C02097">
        <w:rPr>
          <w:rFonts w:cs="Arial"/>
          <w:b/>
          <w:szCs w:val="24"/>
        </w:rPr>
        <w:t xml:space="preserve"> TO </w:t>
      </w:r>
      <w:r w:rsidR="006A0DA8" w:rsidRPr="00C02097">
        <w:rPr>
          <w:rFonts w:cs="Arial"/>
          <w:b/>
          <w:szCs w:val="24"/>
        </w:rPr>
        <w:t xml:space="preserve">THE </w:t>
      </w:r>
      <w:r w:rsidRPr="00C02097">
        <w:rPr>
          <w:rFonts w:cs="Arial"/>
          <w:b/>
          <w:szCs w:val="24"/>
        </w:rPr>
        <w:t>CAPITAL PROGRAMME</w:t>
      </w:r>
    </w:p>
    <w:p w14:paraId="72ED0E56" w14:textId="77777777" w:rsidR="001E2D71" w:rsidRPr="00C02097" w:rsidRDefault="001E2D71" w:rsidP="001E2D71">
      <w:pPr>
        <w:pStyle w:val="ListParagraph"/>
        <w:ind w:left="709"/>
        <w:rPr>
          <w:rFonts w:cs="Arial"/>
          <w:b/>
          <w:szCs w:val="24"/>
        </w:rPr>
      </w:pPr>
    </w:p>
    <w:p w14:paraId="0B4BF840" w14:textId="43F26C9D" w:rsidR="001E2D71" w:rsidRPr="00C02097" w:rsidRDefault="001E2D71" w:rsidP="001E2D71">
      <w:pPr>
        <w:pStyle w:val="ListParagraph"/>
        <w:ind w:left="709"/>
        <w:rPr>
          <w:rFonts w:cs="Arial"/>
          <w:b/>
          <w:i/>
          <w:szCs w:val="24"/>
          <w:u w:val="single"/>
        </w:rPr>
      </w:pPr>
      <w:r w:rsidRPr="00C02097">
        <w:rPr>
          <w:rFonts w:cs="Arial"/>
          <w:b/>
          <w:i/>
          <w:szCs w:val="24"/>
          <w:u w:val="single"/>
        </w:rPr>
        <w:t>Addition</w:t>
      </w:r>
      <w:r w:rsidR="00AE4D79" w:rsidRPr="00C02097">
        <w:rPr>
          <w:rFonts w:cs="Arial"/>
          <w:b/>
          <w:i/>
          <w:szCs w:val="24"/>
          <w:u w:val="single"/>
        </w:rPr>
        <w:t>s</w:t>
      </w:r>
      <w:r w:rsidRPr="00C02097">
        <w:rPr>
          <w:rFonts w:cs="Arial"/>
          <w:b/>
          <w:i/>
          <w:szCs w:val="24"/>
          <w:u w:val="single"/>
        </w:rPr>
        <w:t xml:space="preserve"> to </w:t>
      </w:r>
      <w:r w:rsidR="00AE4D79" w:rsidRPr="00C02097">
        <w:rPr>
          <w:rFonts w:cs="Arial"/>
          <w:b/>
          <w:i/>
          <w:szCs w:val="24"/>
          <w:u w:val="single"/>
        </w:rPr>
        <w:t xml:space="preserve">the </w:t>
      </w:r>
      <w:r w:rsidRPr="00C02097">
        <w:rPr>
          <w:rFonts w:cs="Arial"/>
          <w:b/>
          <w:i/>
          <w:szCs w:val="24"/>
          <w:u w:val="single"/>
        </w:rPr>
        <w:t>capital programme</w:t>
      </w:r>
    </w:p>
    <w:p w14:paraId="66AC3962" w14:textId="77777777" w:rsidR="001E2D71" w:rsidRPr="002541E5" w:rsidRDefault="001E2D71" w:rsidP="001E2D71">
      <w:pPr>
        <w:pStyle w:val="ListParagraph"/>
        <w:rPr>
          <w:rFonts w:cs="Arial"/>
          <w:b/>
          <w:szCs w:val="24"/>
        </w:rPr>
      </w:pPr>
    </w:p>
    <w:p w14:paraId="4CADFFEE" w14:textId="616D74A2" w:rsidR="00316858" w:rsidRPr="002541E5" w:rsidRDefault="00316858" w:rsidP="0006759A">
      <w:pPr>
        <w:pStyle w:val="ListParagraph"/>
        <w:numPr>
          <w:ilvl w:val="0"/>
          <w:numId w:val="95"/>
        </w:numPr>
        <w:ind w:left="709" w:hanging="928"/>
        <w:jc w:val="both"/>
        <w:rPr>
          <w:rFonts w:cs="Arial"/>
          <w:szCs w:val="24"/>
        </w:rPr>
      </w:pPr>
      <w:r w:rsidRPr="002541E5">
        <w:rPr>
          <w:rFonts w:cs="Arial"/>
          <w:bCs/>
          <w:szCs w:val="24"/>
        </w:rPr>
        <w:t>A report was presented to the Major Development Panel on 14</w:t>
      </w:r>
      <w:r w:rsidRPr="002541E5">
        <w:rPr>
          <w:rFonts w:cs="Arial"/>
          <w:bCs/>
          <w:szCs w:val="24"/>
          <w:vertAlign w:val="superscript"/>
        </w:rPr>
        <w:t>th</w:t>
      </w:r>
      <w:r w:rsidRPr="002541E5">
        <w:rPr>
          <w:rFonts w:cs="Arial"/>
          <w:bCs/>
          <w:szCs w:val="24"/>
        </w:rPr>
        <w:t xml:space="preserve"> November 2017, recommending that the allocation of Borough and Neighbourhood CIL is included as part of the Annual Budget Setting process and included in the Capital Programme report which goes to Cabinet in draft in December (this report) and in Feb</w:t>
      </w:r>
      <w:r w:rsidR="00B71516" w:rsidRPr="002541E5">
        <w:rPr>
          <w:rFonts w:cs="Arial"/>
          <w:bCs/>
          <w:szCs w:val="24"/>
        </w:rPr>
        <w:t>ruary in its final version</w:t>
      </w:r>
      <w:r w:rsidR="002541E5" w:rsidRPr="002541E5">
        <w:rPr>
          <w:rFonts w:cs="Arial"/>
          <w:bCs/>
          <w:szCs w:val="24"/>
        </w:rPr>
        <w:t>.</w:t>
      </w:r>
    </w:p>
    <w:p w14:paraId="2EFD6DF0" w14:textId="0D4BDA74" w:rsidR="00C02097" w:rsidRPr="009F4A02" w:rsidRDefault="00C02097" w:rsidP="0006759A">
      <w:pPr>
        <w:pStyle w:val="ListParagraph"/>
        <w:numPr>
          <w:ilvl w:val="0"/>
          <w:numId w:val="95"/>
        </w:numPr>
        <w:ind w:left="709" w:hanging="928"/>
        <w:jc w:val="both"/>
        <w:rPr>
          <w:rFonts w:cs="Arial"/>
          <w:szCs w:val="24"/>
        </w:rPr>
      </w:pPr>
      <w:r w:rsidRPr="00C02097">
        <w:rPr>
          <w:rFonts w:cs="Arial"/>
          <w:bCs/>
          <w:szCs w:val="24"/>
        </w:rPr>
        <w:t>The Neighbourhood element of CIL which will be included in the Capital Programme will be a broad allocation to indicate the total amount of NCIL available, but with the final decision on what projects are funded from the agreed CIL allocations being delega</w:t>
      </w:r>
      <w:r w:rsidR="00E36CA7">
        <w:rPr>
          <w:rFonts w:cs="Arial"/>
          <w:bCs/>
          <w:szCs w:val="24"/>
        </w:rPr>
        <w:t xml:space="preserve">ted to the Divisional Director of </w:t>
      </w:r>
      <w:r w:rsidRPr="00C02097">
        <w:rPr>
          <w:rFonts w:cs="Arial"/>
          <w:bCs/>
          <w:szCs w:val="24"/>
        </w:rPr>
        <w:t>Regeneration and Planning, in consultation with the Portfolio Holders for Regeneration and Planning, and Finance and Commercialisation</w:t>
      </w:r>
      <w:r>
        <w:rPr>
          <w:rFonts w:cs="Arial"/>
          <w:bCs/>
          <w:szCs w:val="24"/>
        </w:rPr>
        <w:t>.</w:t>
      </w:r>
    </w:p>
    <w:p w14:paraId="5C7FCAA9" w14:textId="551BF44C" w:rsidR="00C02097" w:rsidRPr="009F4A02" w:rsidRDefault="00C02097" w:rsidP="0006759A">
      <w:pPr>
        <w:pStyle w:val="ListParagraph"/>
        <w:numPr>
          <w:ilvl w:val="0"/>
          <w:numId w:val="95"/>
        </w:numPr>
        <w:ind w:left="709" w:hanging="928"/>
        <w:jc w:val="both"/>
        <w:rPr>
          <w:rFonts w:cs="Arial"/>
          <w:szCs w:val="24"/>
        </w:rPr>
      </w:pPr>
      <w:r w:rsidRPr="00C02097">
        <w:rPr>
          <w:rFonts w:cs="Arial"/>
          <w:bCs/>
          <w:szCs w:val="24"/>
        </w:rPr>
        <w:t>An allocation of £200k is to be included in the 2017/18 Capital Programme for Neighbourhood Community Infrastructure Levy</w:t>
      </w:r>
      <w:r>
        <w:rPr>
          <w:rFonts w:cs="Arial"/>
          <w:bCs/>
          <w:szCs w:val="24"/>
        </w:rPr>
        <w:t>.</w:t>
      </w:r>
    </w:p>
    <w:p w14:paraId="75B95895" w14:textId="77777777" w:rsidR="00C2085E" w:rsidRDefault="00C2085E" w:rsidP="00CB1B58">
      <w:pPr>
        <w:pStyle w:val="ListParagraph"/>
        <w:ind w:left="709"/>
        <w:jc w:val="both"/>
        <w:rPr>
          <w:rFonts w:cs="Arial"/>
          <w:szCs w:val="24"/>
        </w:rPr>
      </w:pPr>
    </w:p>
    <w:p w14:paraId="724A321F" w14:textId="77777777" w:rsidR="00C2085E" w:rsidRDefault="00C2085E" w:rsidP="00CB1B58">
      <w:pPr>
        <w:pStyle w:val="ListParagraph"/>
        <w:ind w:left="709"/>
        <w:jc w:val="both"/>
        <w:rPr>
          <w:rFonts w:cs="Arial"/>
          <w:szCs w:val="24"/>
        </w:rPr>
      </w:pPr>
    </w:p>
    <w:p w14:paraId="6960EF9E" w14:textId="77777777" w:rsidR="00A6206B" w:rsidRDefault="00A6206B" w:rsidP="00CB1B58">
      <w:pPr>
        <w:pStyle w:val="ListParagraph"/>
        <w:ind w:left="709"/>
        <w:jc w:val="both"/>
        <w:rPr>
          <w:rFonts w:cs="Arial"/>
          <w:b/>
          <w:szCs w:val="24"/>
          <w:u w:val="single"/>
        </w:rPr>
      </w:pPr>
    </w:p>
    <w:p w14:paraId="2C77F9F4" w14:textId="6B2E6E02" w:rsidR="00C02097" w:rsidRDefault="00C2085E" w:rsidP="00CB1B58">
      <w:pPr>
        <w:pStyle w:val="ListParagraph"/>
        <w:ind w:left="709"/>
        <w:jc w:val="both"/>
        <w:rPr>
          <w:rFonts w:cs="Arial"/>
          <w:b/>
          <w:szCs w:val="24"/>
          <w:u w:val="single"/>
        </w:rPr>
      </w:pPr>
      <w:r w:rsidRPr="00CB1B58">
        <w:rPr>
          <w:rFonts w:cs="Arial"/>
          <w:b/>
          <w:szCs w:val="24"/>
          <w:u w:val="single"/>
        </w:rPr>
        <w:t xml:space="preserve">Reduction to the </w:t>
      </w:r>
      <w:r w:rsidR="008449DA">
        <w:rPr>
          <w:rFonts w:cs="Arial"/>
          <w:b/>
          <w:szCs w:val="24"/>
          <w:u w:val="single"/>
        </w:rPr>
        <w:t>C</w:t>
      </w:r>
      <w:r w:rsidRPr="00CB1B58">
        <w:rPr>
          <w:rFonts w:cs="Arial"/>
          <w:b/>
          <w:szCs w:val="24"/>
          <w:u w:val="single"/>
        </w:rPr>
        <w:t xml:space="preserve">apital </w:t>
      </w:r>
      <w:r w:rsidR="008449DA">
        <w:rPr>
          <w:rFonts w:cs="Arial"/>
          <w:b/>
          <w:szCs w:val="24"/>
          <w:u w:val="single"/>
        </w:rPr>
        <w:t>P</w:t>
      </w:r>
      <w:r w:rsidRPr="00CB1B58">
        <w:rPr>
          <w:rFonts w:cs="Arial"/>
          <w:b/>
          <w:szCs w:val="24"/>
          <w:u w:val="single"/>
        </w:rPr>
        <w:t>rogramme</w:t>
      </w:r>
    </w:p>
    <w:p w14:paraId="62885120" w14:textId="77777777" w:rsidR="00C2085E" w:rsidRPr="00CB1B58" w:rsidRDefault="00C2085E" w:rsidP="00CB1B58">
      <w:pPr>
        <w:pStyle w:val="ListParagraph"/>
        <w:ind w:left="709"/>
        <w:jc w:val="both"/>
        <w:rPr>
          <w:rFonts w:cs="Arial"/>
          <w:b/>
          <w:szCs w:val="24"/>
          <w:u w:val="single"/>
        </w:rPr>
      </w:pPr>
    </w:p>
    <w:p w14:paraId="061D7937" w14:textId="45DC6EBF" w:rsidR="008449DA" w:rsidRPr="0091766E" w:rsidRDefault="008449DA" w:rsidP="0006759A">
      <w:pPr>
        <w:pStyle w:val="ListParagraph"/>
        <w:numPr>
          <w:ilvl w:val="0"/>
          <w:numId w:val="95"/>
        </w:numPr>
        <w:ind w:left="709" w:hanging="928"/>
        <w:jc w:val="both"/>
        <w:rPr>
          <w:rFonts w:cs="Arial"/>
          <w:szCs w:val="24"/>
        </w:rPr>
      </w:pPr>
      <w:r w:rsidRPr="008449DA">
        <w:rPr>
          <w:rFonts w:cs="Arial"/>
          <w:bCs/>
          <w:szCs w:val="24"/>
        </w:rPr>
        <w:t>As part of the Budget setting process</w:t>
      </w:r>
      <w:r>
        <w:rPr>
          <w:rFonts w:cs="Arial"/>
          <w:bCs/>
          <w:szCs w:val="24"/>
        </w:rPr>
        <w:t xml:space="preserve"> for 2018/19, a review the current Capital P</w:t>
      </w:r>
      <w:r w:rsidRPr="008449DA">
        <w:rPr>
          <w:rFonts w:cs="Arial"/>
          <w:bCs/>
          <w:szCs w:val="24"/>
        </w:rPr>
        <w:t xml:space="preserve">rogramme </w:t>
      </w:r>
      <w:r>
        <w:rPr>
          <w:rFonts w:cs="Arial"/>
          <w:bCs/>
          <w:szCs w:val="24"/>
        </w:rPr>
        <w:t xml:space="preserve">was carried out </w:t>
      </w:r>
      <w:r w:rsidRPr="008449DA">
        <w:rPr>
          <w:rFonts w:cs="Arial"/>
          <w:bCs/>
          <w:szCs w:val="24"/>
        </w:rPr>
        <w:t>with a view to making reductions</w:t>
      </w:r>
      <w:r>
        <w:rPr>
          <w:rFonts w:cs="Arial"/>
          <w:bCs/>
          <w:szCs w:val="24"/>
        </w:rPr>
        <w:t xml:space="preserve"> </w:t>
      </w:r>
      <w:r w:rsidRPr="008449DA">
        <w:rPr>
          <w:rFonts w:cs="Arial"/>
          <w:bCs/>
          <w:szCs w:val="24"/>
        </w:rPr>
        <w:t>in order to assist with closing the budget gap of £8.043m in 2018/19 and £8.998m for 2019/20 as set out in the Revenue Budget and Medium Term Financial Strategy 2017/18 to 2019/20 as reported to Cabinet in February 2017</w:t>
      </w:r>
      <w:r>
        <w:rPr>
          <w:rFonts w:cs="Arial"/>
          <w:bCs/>
          <w:szCs w:val="24"/>
        </w:rPr>
        <w:t>.</w:t>
      </w:r>
    </w:p>
    <w:p w14:paraId="4420C491" w14:textId="77777777" w:rsidR="008449DA" w:rsidRPr="00CB1B58" w:rsidRDefault="008449DA" w:rsidP="00CB1B58">
      <w:pPr>
        <w:pStyle w:val="ListParagraph"/>
        <w:ind w:left="709"/>
        <w:jc w:val="both"/>
        <w:rPr>
          <w:rFonts w:cs="Arial"/>
          <w:szCs w:val="24"/>
        </w:rPr>
      </w:pPr>
    </w:p>
    <w:p w14:paraId="420B9BD7" w14:textId="0F5A04F4" w:rsidR="00316858" w:rsidRPr="00CB1B58" w:rsidRDefault="008449DA" w:rsidP="0006759A">
      <w:pPr>
        <w:pStyle w:val="ListParagraph"/>
        <w:numPr>
          <w:ilvl w:val="0"/>
          <w:numId w:val="95"/>
        </w:numPr>
        <w:ind w:left="709" w:hanging="928"/>
        <w:jc w:val="both"/>
        <w:rPr>
          <w:rFonts w:cs="Arial"/>
          <w:szCs w:val="24"/>
        </w:rPr>
      </w:pPr>
      <w:r w:rsidRPr="008449DA">
        <w:rPr>
          <w:rFonts w:cs="Arial"/>
          <w:bCs/>
          <w:szCs w:val="24"/>
        </w:rPr>
        <w:t>Directorates were asked to consider how they could manage their capital programme if budgets were reduced by approximately 25% across each year from 2017/18 to 2019/20.  The responses were reviewed and the Capital Programme has been reduced based on those responses.  The reductions made in 2017/</w:t>
      </w:r>
      <w:r w:rsidR="002541E5" w:rsidRPr="008449DA">
        <w:rPr>
          <w:rFonts w:cs="Arial"/>
          <w:bCs/>
          <w:szCs w:val="24"/>
        </w:rPr>
        <w:t>18</w:t>
      </w:r>
      <w:r w:rsidR="002541E5">
        <w:rPr>
          <w:rFonts w:cs="Arial"/>
          <w:bCs/>
          <w:szCs w:val="24"/>
        </w:rPr>
        <w:t xml:space="preserve"> is</w:t>
      </w:r>
      <w:r>
        <w:rPr>
          <w:rFonts w:cs="Arial"/>
          <w:bCs/>
          <w:szCs w:val="24"/>
        </w:rPr>
        <w:t xml:space="preserve"> summarised in table 13 below and detailed in appendix 5.</w:t>
      </w:r>
      <w:r w:rsidRPr="008449DA">
        <w:rPr>
          <w:rFonts w:cs="Arial"/>
          <w:bCs/>
          <w:szCs w:val="24"/>
        </w:rPr>
        <w:t xml:space="preserve"> </w:t>
      </w:r>
      <w:r>
        <w:rPr>
          <w:rFonts w:cs="Arial"/>
          <w:bCs/>
          <w:szCs w:val="24"/>
        </w:rPr>
        <w:t>The reduction across 2018/19 and 2019/20</w:t>
      </w:r>
      <w:r w:rsidR="002541E5">
        <w:rPr>
          <w:rFonts w:cs="Arial"/>
          <w:bCs/>
          <w:szCs w:val="24"/>
        </w:rPr>
        <w:t xml:space="preserve">, and the savings that will be generated from this </w:t>
      </w:r>
      <w:r w:rsidR="00FC2811">
        <w:rPr>
          <w:rFonts w:cs="Arial"/>
          <w:bCs/>
          <w:szCs w:val="24"/>
        </w:rPr>
        <w:t>reductions</w:t>
      </w:r>
      <w:r>
        <w:rPr>
          <w:rFonts w:cs="Arial"/>
          <w:bCs/>
          <w:szCs w:val="24"/>
        </w:rPr>
        <w:t xml:space="preserve"> are </w:t>
      </w:r>
      <w:r w:rsidRPr="008449DA">
        <w:rPr>
          <w:rFonts w:cs="Arial"/>
          <w:bCs/>
          <w:szCs w:val="24"/>
        </w:rPr>
        <w:t xml:space="preserve">captured as part of the </w:t>
      </w:r>
      <w:r>
        <w:rPr>
          <w:rFonts w:cs="Arial"/>
          <w:bCs/>
          <w:szCs w:val="24"/>
        </w:rPr>
        <w:t>Capital Programme 20</w:t>
      </w:r>
      <w:r w:rsidRPr="008449DA">
        <w:rPr>
          <w:rFonts w:cs="Arial"/>
          <w:bCs/>
          <w:szCs w:val="24"/>
        </w:rPr>
        <w:t>18</w:t>
      </w:r>
      <w:r>
        <w:rPr>
          <w:rFonts w:cs="Arial"/>
          <w:bCs/>
          <w:szCs w:val="24"/>
        </w:rPr>
        <w:t xml:space="preserve">/19 to 2020/21 as </w:t>
      </w:r>
      <w:r w:rsidRPr="008449DA">
        <w:rPr>
          <w:rFonts w:cs="Arial"/>
          <w:bCs/>
          <w:szCs w:val="24"/>
        </w:rPr>
        <w:t>reported elsewhere on the agenda</w:t>
      </w:r>
      <w:r>
        <w:rPr>
          <w:rFonts w:cs="Arial"/>
          <w:bCs/>
          <w:szCs w:val="24"/>
        </w:rPr>
        <w:t>.</w:t>
      </w:r>
    </w:p>
    <w:p w14:paraId="682E99F6" w14:textId="77777777" w:rsidR="00B71516" w:rsidRPr="00CB1B58" w:rsidRDefault="00B71516" w:rsidP="00CB1B58">
      <w:pPr>
        <w:pStyle w:val="ListParagraph"/>
        <w:rPr>
          <w:rFonts w:cs="Arial"/>
          <w:szCs w:val="24"/>
        </w:rPr>
      </w:pPr>
    </w:p>
    <w:p w14:paraId="258BFF06" w14:textId="77777777" w:rsidR="00746A92" w:rsidRDefault="00746A92" w:rsidP="00CB1B58">
      <w:pPr>
        <w:pStyle w:val="ListParagraph"/>
        <w:ind w:left="709"/>
        <w:rPr>
          <w:rFonts w:cs="Arial"/>
          <w:szCs w:val="24"/>
          <w:u w:val="single"/>
        </w:rPr>
      </w:pPr>
    </w:p>
    <w:p w14:paraId="06C34D25" w14:textId="77777777" w:rsidR="00746A92" w:rsidRDefault="00746A92" w:rsidP="00CB1B58">
      <w:pPr>
        <w:pStyle w:val="ListParagraph"/>
        <w:ind w:left="709"/>
        <w:rPr>
          <w:rFonts w:cs="Arial"/>
          <w:szCs w:val="24"/>
          <w:u w:val="single"/>
        </w:rPr>
      </w:pPr>
    </w:p>
    <w:p w14:paraId="0D732E41" w14:textId="77777777" w:rsidR="00746A92" w:rsidRDefault="00746A92" w:rsidP="00CB1B58">
      <w:pPr>
        <w:pStyle w:val="ListParagraph"/>
        <w:ind w:left="709"/>
        <w:rPr>
          <w:rFonts w:cs="Arial"/>
          <w:szCs w:val="24"/>
          <w:u w:val="single"/>
        </w:rPr>
      </w:pPr>
    </w:p>
    <w:p w14:paraId="16C234BB" w14:textId="77777777" w:rsidR="00746A92" w:rsidRDefault="00746A92" w:rsidP="00CB1B58">
      <w:pPr>
        <w:pStyle w:val="ListParagraph"/>
        <w:ind w:left="709"/>
        <w:rPr>
          <w:rFonts w:cs="Arial"/>
          <w:szCs w:val="24"/>
          <w:u w:val="single"/>
        </w:rPr>
      </w:pPr>
    </w:p>
    <w:p w14:paraId="336D977E" w14:textId="77777777" w:rsidR="00746A92" w:rsidRDefault="00746A92" w:rsidP="00CB1B58">
      <w:pPr>
        <w:pStyle w:val="ListParagraph"/>
        <w:ind w:left="709"/>
        <w:rPr>
          <w:rFonts w:cs="Arial"/>
          <w:szCs w:val="24"/>
          <w:u w:val="single"/>
        </w:rPr>
      </w:pPr>
    </w:p>
    <w:p w14:paraId="0E598109" w14:textId="77777777" w:rsidR="00746A92" w:rsidRDefault="00746A92" w:rsidP="00CB1B58">
      <w:pPr>
        <w:pStyle w:val="ListParagraph"/>
        <w:ind w:left="709"/>
        <w:rPr>
          <w:rFonts w:cs="Arial"/>
          <w:szCs w:val="24"/>
          <w:u w:val="single"/>
        </w:rPr>
      </w:pPr>
    </w:p>
    <w:p w14:paraId="1AB7FBF5" w14:textId="77777777" w:rsidR="00746A92" w:rsidRDefault="00746A92" w:rsidP="00CB1B58">
      <w:pPr>
        <w:pStyle w:val="ListParagraph"/>
        <w:ind w:left="709"/>
        <w:rPr>
          <w:rFonts w:cs="Arial"/>
          <w:szCs w:val="24"/>
          <w:u w:val="single"/>
        </w:rPr>
      </w:pPr>
    </w:p>
    <w:p w14:paraId="3BA7E0D6" w14:textId="40E77978" w:rsidR="00316858" w:rsidRPr="00CB1B58" w:rsidRDefault="00FC2811" w:rsidP="00CB1B58">
      <w:pPr>
        <w:pStyle w:val="ListParagraph"/>
        <w:ind w:left="709"/>
        <w:rPr>
          <w:rFonts w:cs="Arial"/>
          <w:szCs w:val="24"/>
          <w:u w:val="single"/>
        </w:rPr>
      </w:pPr>
      <w:r>
        <w:rPr>
          <w:rFonts w:cs="Arial"/>
          <w:szCs w:val="24"/>
          <w:u w:val="single"/>
        </w:rPr>
        <w:t>T</w:t>
      </w:r>
      <w:r w:rsidR="00B71516" w:rsidRPr="00CB1B58">
        <w:rPr>
          <w:rFonts w:cs="Arial"/>
          <w:szCs w:val="24"/>
          <w:u w:val="single"/>
        </w:rPr>
        <w:t>able 13: 2017/18 In-year Reduction to Capital Programme</w:t>
      </w:r>
    </w:p>
    <w:p w14:paraId="11E38490" w14:textId="3506A97F" w:rsidR="00316858" w:rsidRDefault="00F5225D" w:rsidP="00CB1B58">
      <w:pPr>
        <w:pStyle w:val="ListParagraph"/>
        <w:ind w:left="709"/>
        <w:rPr>
          <w:rFonts w:cs="Arial"/>
          <w:szCs w:val="24"/>
          <w:highlight w:val="yellow"/>
        </w:rPr>
      </w:pPr>
      <w:r w:rsidRPr="00F5225D">
        <w:rPr>
          <w:noProof/>
          <w:lang w:eastAsia="en-GB"/>
        </w:rPr>
        <w:drawing>
          <wp:inline distT="0" distB="0" distL="0" distR="0" wp14:anchorId="47636AA3" wp14:editId="301CBBE3">
            <wp:extent cx="4018280" cy="3979545"/>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18280" cy="3979545"/>
                    </a:xfrm>
                    <a:prstGeom prst="rect">
                      <a:avLst/>
                    </a:prstGeom>
                    <a:noFill/>
                    <a:ln>
                      <a:noFill/>
                    </a:ln>
                  </pic:spPr>
                </pic:pic>
              </a:graphicData>
            </a:graphic>
          </wp:inline>
        </w:drawing>
      </w:r>
    </w:p>
    <w:p w14:paraId="6CED0AF2" w14:textId="77777777" w:rsidR="00316858" w:rsidRPr="009F4A02" w:rsidRDefault="00316858" w:rsidP="00CB1B58">
      <w:pPr>
        <w:pStyle w:val="ListParagraph"/>
        <w:rPr>
          <w:rFonts w:cs="Arial"/>
          <w:szCs w:val="24"/>
          <w:highlight w:val="yellow"/>
        </w:rPr>
      </w:pPr>
    </w:p>
    <w:p w14:paraId="7DCA5FC1" w14:textId="20C6ECD3" w:rsidR="000D325B" w:rsidRDefault="00316858" w:rsidP="00CB1B58">
      <w:pPr>
        <w:pStyle w:val="ListParagraph"/>
        <w:ind w:left="709"/>
        <w:jc w:val="both"/>
        <w:rPr>
          <w:rFonts w:cs="Arial"/>
          <w:szCs w:val="24"/>
          <w:highlight w:val="yellow"/>
        </w:rPr>
      </w:pPr>
      <w:r>
        <w:rPr>
          <w:rFonts w:cs="Arial"/>
          <w:szCs w:val="24"/>
          <w:highlight w:val="yellow"/>
        </w:rPr>
        <w:t xml:space="preserve"> </w:t>
      </w:r>
    </w:p>
    <w:p w14:paraId="5D1273BA" w14:textId="77777777" w:rsidR="00515A03" w:rsidRPr="00CB1B58" w:rsidRDefault="00515A03" w:rsidP="00CB1B58">
      <w:pPr>
        <w:pStyle w:val="ListParagraph"/>
        <w:ind w:left="709"/>
        <w:jc w:val="both"/>
        <w:rPr>
          <w:rFonts w:cs="Arial"/>
          <w:i/>
          <w:szCs w:val="24"/>
          <w:highlight w:val="yellow"/>
          <w:u w:val="single"/>
        </w:rPr>
      </w:pPr>
    </w:p>
    <w:p w14:paraId="531177AD" w14:textId="77777777" w:rsidR="008449DA" w:rsidRDefault="008449DA" w:rsidP="006A0DA8">
      <w:pPr>
        <w:pStyle w:val="ListParagraph"/>
        <w:ind w:left="788"/>
        <w:jc w:val="both"/>
        <w:rPr>
          <w:rFonts w:cs="Arial"/>
          <w:bCs/>
          <w:szCs w:val="24"/>
          <w:highlight w:val="yellow"/>
        </w:rPr>
      </w:pPr>
    </w:p>
    <w:p w14:paraId="2DA781F5" w14:textId="1C812555" w:rsidR="006A0DA8" w:rsidRPr="00CD735C" w:rsidRDefault="006A0DA8" w:rsidP="00CD735C">
      <w:pPr>
        <w:pStyle w:val="ListParagraph"/>
        <w:numPr>
          <w:ilvl w:val="0"/>
          <w:numId w:val="31"/>
        </w:numPr>
        <w:ind w:left="284" w:hanging="284"/>
        <w:jc w:val="both"/>
        <w:rPr>
          <w:rFonts w:cs="Arial"/>
          <w:b/>
          <w:szCs w:val="24"/>
        </w:rPr>
      </w:pPr>
      <w:r w:rsidRPr="00CD735C">
        <w:rPr>
          <w:rFonts w:cs="Arial"/>
          <w:b/>
          <w:szCs w:val="24"/>
        </w:rPr>
        <w:t>C</w:t>
      </w:r>
      <w:r w:rsidR="00C26AEB" w:rsidRPr="00CD735C">
        <w:rPr>
          <w:rFonts w:cs="Arial"/>
          <w:b/>
          <w:szCs w:val="24"/>
        </w:rPr>
        <w:t>ONCILIUM BUSINESS SERVICES</w:t>
      </w:r>
    </w:p>
    <w:p w14:paraId="5A2AD789" w14:textId="77777777" w:rsidR="006A0DA8" w:rsidRPr="006A0DA8" w:rsidRDefault="006A0DA8" w:rsidP="006A0DA8">
      <w:pPr>
        <w:pStyle w:val="ListParagraph"/>
        <w:ind w:left="788"/>
        <w:jc w:val="both"/>
        <w:rPr>
          <w:rFonts w:cs="Arial"/>
          <w:b/>
          <w:szCs w:val="24"/>
        </w:rPr>
      </w:pPr>
    </w:p>
    <w:p w14:paraId="5805BC8E" w14:textId="27DE9C0D" w:rsidR="005D0C5B" w:rsidRDefault="00CD735C" w:rsidP="00387615">
      <w:pPr>
        <w:ind w:left="720" w:hanging="720"/>
        <w:jc w:val="both"/>
        <w:rPr>
          <w:rFonts w:cs="Arial"/>
          <w:szCs w:val="24"/>
        </w:rPr>
      </w:pPr>
      <w:r>
        <w:t>4.1</w:t>
      </w:r>
      <w:r w:rsidR="00A03E1E">
        <w:tab/>
      </w:r>
      <w:r w:rsidR="006A0DA8" w:rsidRPr="005D0C5B">
        <w:t xml:space="preserve">The Quarter </w:t>
      </w:r>
      <w:r w:rsidR="00C8529F">
        <w:t>2</w:t>
      </w:r>
      <w:r w:rsidR="005D0C5B" w:rsidRPr="005D0C5B">
        <w:t xml:space="preserve"> forecast currently shows t</w:t>
      </w:r>
      <w:r w:rsidR="00C26AEB">
        <w:t xml:space="preserve">hat </w:t>
      </w:r>
      <w:proofErr w:type="spellStart"/>
      <w:r w:rsidR="00C26AEB">
        <w:t>Concilium</w:t>
      </w:r>
      <w:proofErr w:type="spellEnd"/>
      <w:r w:rsidR="00C26AEB">
        <w:t xml:space="preserve"> Business Services</w:t>
      </w:r>
      <w:r w:rsidR="005D0C5B" w:rsidRPr="005D0C5B">
        <w:t xml:space="preserve"> </w:t>
      </w:r>
      <w:r w:rsidR="005D0C5B">
        <w:t>is</w:t>
      </w:r>
      <w:r w:rsidR="005D0C5B" w:rsidRPr="005D0C5B">
        <w:t xml:space="preserve"> </w:t>
      </w:r>
      <w:r w:rsidR="00184D1F">
        <w:t>close</w:t>
      </w:r>
      <w:r w:rsidR="005D0C5B" w:rsidRPr="005D0C5B">
        <w:t xml:space="preserve"> to </w:t>
      </w:r>
      <w:r w:rsidR="00184D1F">
        <w:t xml:space="preserve">target in achieving the </w:t>
      </w:r>
      <w:r w:rsidR="005D0C5B" w:rsidRPr="005D0C5B">
        <w:t>business plan</w:t>
      </w:r>
      <w:r w:rsidR="00387615">
        <w:t>.</w:t>
      </w:r>
      <w:r w:rsidR="005D0C5B" w:rsidRPr="00CB1B58">
        <w:rPr>
          <w:highlight w:val="yellow"/>
        </w:rPr>
        <w:t xml:space="preserve"> </w:t>
      </w:r>
    </w:p>
    <w:p w14:paraId="248FAD0A" w14:textId="77777777" w:rsidR="004C6220" w:rsidRDefault="004C6220" w:rsidP="005D0C5B">
      <w:pPr>
        <w:pStyle w:val="ListParagraph"/>
        <w:ind w:left="788"/>
        <w:jc w:val="both"/>
        <w:rPr>
          <w:rFonts w:cs="Arial"/>
          <w:szCs w:val="24"/>
        </w:rPr>
      </w:pPr>
    </w:p>
    <w:p w14:paraId="232ED9EC" w14:textId="77777777" w:rsidR="004C6220" w:rsidRPr="005D0C5B" w:rsidRDefault="004C6220" w:rsidP="005D0C5B">
      <w:pPr>
        <w:pStyle w:val="ListParagraph"/>
        <w:ind w:left="788"/>
        <w:jc w:val="both"/>
        <w:rPr>
          <w:rFonts w:cs="Arial"/>
          <w:szCs w:val="24"/>
        </w:rPr>
      </w:pPr>
    </w:p>
    <w:bookmarkEnd w:id="1"/>
    <w:p w14:paraId="4FA4C47F" w14:textId="77777777" w:rsidR="001374CB" w:rsidRDefault="00685647" w:rsidP="001374CB">
      <w:pPr>
        <w:pStyle w:val="ListParagraph"/>
        <w:autoSpaceDE w:val="0"/>
        <w:autoSpaceDN w:val="0"/>
        <w:adjustRightInd w:val="0"/>
        <w:spacing w:after="240"/>
        <w:ind w:left="709" w:hanging="709"/>
        <w:jc w:val="both"/>
      </w:pPr>
      <w:r>
        <w:rPr>
          <w:b/>
          <w:sz w:val="28"/>
          <w:szCs w:val="28"/>
        </w:rPr>
        <w:t>5</w:t>
      </w:r>
      <w:r w:rsidR="0020754A" w:rsidRPr="00835EA0">
        <w:rPr>
          <w:sz w:val="28"/>
          <w:szCs w:val="28"/>
        </w:rPr>
        <w:t>.</w:t>
      </w:r>
      <w:r w:rsidR="00C71B6A">
        <w:rPr>
          <w:szCs w:val="24"/>
        </w:rPr>
        <w:t xml:space="preserve">  </w:t>
      </w:r>
      <w:r w:rsidR="005E0EC3" w:rsidRPr="009E22B0">
        <w:rPr>
          <w:b/>
          <w:sz w:val="28"/>
          <w:szCs w:val="28"/>
        </w:rPr>
        <w:t>Legal Implication</w:t>
      </w:r>
      <w:r w:rsidR="009102CE">
        <w:rPr>
          <w:b/>
          <w:sz w:val="28"/>
          <w:szCs w:val="28"/>
        </w:rPr>
        <w:t>s</w:t>
      </w:r>
      <w:r>
        <w:tab/>
      </w:r>
    </w:p>
    <w:p w14:paraId="70C5BE44" w14:textId="1D3B8718" w:rsidR="005E0EC3" w:rsidRDefault="001374CB" w:rsidP="001374CB">
      <w:pPr>
        <w:pStyle w:val="ListParagraph"/>
        <w:autoSpaceDE w:val="0"/>
        <w:autoSpaceDN w:val="0"/>
        <w:adjustRightInd w:val="0"/>
        <w:spacing w:after="240"/>
        <w:ind w:left="709" w:hanging="709"/>
        <w:jc w:val="both"/>
      </w:pPr>
      <w:r>
        <w:t>5.1</w:t>
      </w:r>
      <w:r>
        <w:tab/>
      </w:r>
      <w:r w:rsidR="005E0EC3" w:rsidRPr="005E0EC3">
        <w:t xml:space="preserve">Section 151 of the Local Government Act 1972 states that without prejudice to section 111, every local authority shall make arrangements </w:t>
      </w:r>
      <w:r w:rsidR="00720057">
        <w:t>f</w:t>
      </w:r>
      <w:r w:rsidR="005E0EC3" w:rsidRPr="005E0EC3">
        <w:t>or the proper administration of their financial affairs and shall secure that one of their officers has responsibility for the administration of those affairs”. Section 28 of the Local Government Act 2003 imposes a</w:t>
      </w:r>
      <w:r w:rsidR="0020754A">
        <w:tab/>
      </w:r>
      <w:r w:rsidR="005E0EC3" w:rsidRPr="005E0EC3">
        <w:t xml:space="preserve">statutory duty on a billing or major </w:t>
      </w:r>
      <w:proofErr w:type="spellStart"/>
      <w:r w:rsidR="005E0EC3" w:rsidRPr="005E0EC3">
        <w:t>precepting</w:t>
      </w:r>
      <w:proofErr w:type="spellEnd"/>
      <w:r w:rsidR="005E0EC3" w:rsidRPr="005E0EC3">
        <w:t xml:space="preserve"> authority to monitor,</w:t>
      </w:r>
      <w:r w:rsidR="0020754A">
        <w:tab/>
      </w:r>
      <w:r w:rsidR="005E0EC3" w:rsidRPr="005E0EC3">
        <w:t>during the financial year, its income and expenditure against budget</w:t>
      </w:r>
      <w:r w:rsidR="00720057">
        <w:t xml:space="preserve"> </w:t>
      </w:r>
      <w:r w:rsidR="005E0EC3" w:rsidRPr="005E0EC3">
        <w:t>calculations</w:t>
      </w:r>
      <w:r w:rsidR="005E0EC3">
        <w:t>.</w:t>
      </w:r>
    </w:p>
    <w:p w14:paraId="12AEE338" w14:textId="355ADE54" w:rsidR="00685647" w:rsidRDefault="00685647" w:rsidP="001374CB">
      <w:pPr>
        <w:pStyle w:val="ListParagraph"/>
        <w:numPr>
          <w:ilvl w:val="0"/>
          <w:numId w:val="128"/>
        </w:numPr>
        <w:autoSpaceDE w:val="0"/>
        <w:autoSpaceDN w:val="0"/>
        <w:adjustRightInd w:val="0"/>
        <w:spacing w:after="240"/>
        <w:ind w:hanging="720"/>
        <w:jc w:val="both"/>
      </w:pPr>
      <w:r w:rsidRPr="00685647">
        <w:t>Under the Council’s Financial Regulation B48 Additions in year to the Capital Programme up to £500,000 additional capital spending can be approved by Cabinet on specific projects where the expenditure is wholly covered by additional external sources; and the expenditure is in accordance with at least one of the priorities listed in the capital programme; and there are no significant full year revenue budget effects. The additional capital spending agreed by Cabinet in one financial year cannot exceed £2.5million</w:t>
      </w:r>
      <w:r>
        <w:t>.</w:t>
      </w:r>
    </w:p>
    <w:p w14:paraId="7B3429F1" w14:textId="23540EB1" w:rsidR="004C134F" w:rsidRDefault="004C134F" w:rsidP="00D55D81">
      <w:pPr>
        <w:pStyle w:val="ListParagraph"/>
        <w:spacing w:after="120"/>
        <w:ind w:left="709"/>
        <w:jc w:val="both"/>
      </w:pPr>
    </w:p>
    <w:p w14:paraId="4720DE6C" w14:textId="24AB0BAF" w:rsidR="005E0EC3" w:rsidRPr="00D341B1" w:rsidRDefault="00685647">
      <w:pPr>
        <w:spacing w:after="240"/>
        <w:rPr>
          <w:b/>
          <w:sz w:val="28"/>
          <w:szCs w:val="28"/>
        </w:rPr>
      </w:pPr>
      <w:r>
        <w:rPr>
          <w:b/>
          <w:sz w:val="28"/>
          <w:szCs w:val="28"/>
        </w:rPr>
        <w:t>6</w:t>
      </w:r>
      <w:r w:rsidR="00835EA0">
        <w:rPr>
          <w:b/>
          <w:sz w:val="28"/>
          <w:szCs w:val="28"/>
        </w:rPr>
        <w:t xml:space="preserve">. </w:t>
      </w:r>
      <w:r w:rsidR="005E0EC3" w:rsidRPr="00D341B1">
        <w:rPr>
          <w:b/>
          <w:sz w:val="28"/>
          <w:szCs w:val="28"/>
        </w:rPr>
        <w:t>Equalities</w:t>
      </w:r>
    </w:p>
    <w:p w14:paraId="5301B810" w14:textId="149920CC" w:rsidR="00741AEB" w:rsidRPr="00374CD9" w:rsidRDefault="00741AEB" w:rsidP="003D61E1">
      <w:pPr>
        <w:pStyle w:val="ListParagraph"/>
        <w:numPr>
          <w:ilvl w:val="1"/>
          <w:numId w:val="6"/>
        </w:numPr>
        <w:spacing w:after="240"/>
        <w:ind w:left="709" w:hanging="709"/>
        <w:jc w:val="both"/>
      </w:pPr>
      <w:r w:rsidRPr="00374CD9">
        <w:t xml:space="preserve">Decision makers should have due regard to the public sector equality </w:t>
      </w:r>
      <w:r w:rsidR="0020754A">
        <w:tab/>
      </w:r>
      <w:r w:rsidRPr="00374CD9">
        <w:t xml:space="preserve">duty in making their decisions. The equalities duties are continuing </w:t>
      </w:r>
      <w:r w:rsidR="0020754A">
        <w:tab/>
      </w:r>
      <w:r w:rsidRPr="00374CD9">
        <w:t xml:space="preserve">duties they are not duties to secure a particular outcome. The </w:t>
      </w:r>
      <w:r w:rsidR="0020754A">
        <w:tab/>
      </w:r>
      <w:r w:rsidRPr="00374CD9">
        <w:t xml:space="preserve">equalities impact will be revisited on each of the proposals as they are developed. Consideration of the duties should precede the decision. It </w:t>
      </w:r>
      <w:r w:rsidR="0020754A">
        <w:tab/>
      </w:r>
      <w:r w:rsidRPr="00374CD9">
        <w:t xml:space="preserve">is important that Cabinet has regard to the statutory grounds in the light </w:t>
      </w:r>
      <w:r w:rsidR="0020754A">
        <w:tab/>
      </w:r>
      <w:r w:rsidRPr="00374CD9">
        <w:t xml:space="preserve">of all available material such as consultation responses. The statutory </w:t>
      </w:r>
      <w:r w:rsidR="0020754A">
        <w:tab/>
      </w:r>
      <w:r w:rsidRPr="00374CD9">
        <w:t xml:space="preserve">grounds of the public sector equality duty are found at section 149 of </w:t>
      </w:r>
      <w:r w:rsidR="00720057">
        <w:t>t</w:t>
      </w:r>
      <w:r w:rsidRPr="00374CD9">
        <w:t>he Equality Act 2010 and are as follows:</w:t>
      </w:r>
    </w:p>
    <w:p w14:paraId="03FF2E0F" w14:textId="261293CF" w:rsidR="00741AEB" w:rsidRPr="0020754A" w:rsidRDefault="0020754A" w:rsidP="003D61E1">
      <w:pPr>
        <w:pStyle w:val="ListParagraph"/>
        <w:numPr>
          <w:ilvl w:val="1"/>
          <w:numId w:val="6"/>
        </w:numPr>
        <w:spacing w:after="240"/>
        <w:ind w:left="709" w:hanging="709"/>
        <w:jc w:val="both"/>
        <w:rPr>
          <w:szCs w:val="24"/>
        </w:rPr>
      </w:pPr>
      <w:r>
        <w:t xml:space="preserve"> </w:t>
      </w:r>
      <w:r w:rsidR="00741AEB" w:rsidRPr="00374CD9">
        <w:t>A public authority must, in the exercise of its functions, have due regard to the</w:t>
      </w:r>
      <w:r w:rsidR="00741AEB" w:rsidRPr="0020754A">
        <w:rPr>
          <w:szCs w:val="24"/>
        </w:rPr>
        <w:t xml:space="preserve"> need to:</w:t>
      </w:r>
    </w:p>
    <w:p w14:paraId="6F96ACAB" w14:textId="77777777" w:rsidR="00741AEB" w:rsidRPr="008B25B2" w:rsidRDefault="00751215" w:rsidP="003D61E1">
      <w:pPr>
        <w:pStyle w:val="ListParagraph"/>
        <w:numPr>
          <w:ilvl w:val="0"/>
          <w:numId w:val="9"/>
        </w:numPr>
        <w:spacing w:after="120"/>
        <w:jc w:val="both"/>
        <w:rPr>
          <w:szCs w:val="24"/>
        </w:rPr>
      </w:pPr>
      <w:r>
        <w:rPr>
          <w:szCs w:val="24"/>
        </w:rPr>
        <w:t>E</w:t>
      </w:r>
      <w:r w:rsidR="00741AEB" w:rsidRPr="006B1DE1">
        <w:rPr>
          <w:szCs w:val="24"/>
        </w:rPr>
        <w:t xml:space="preserve">liminate discrimination, harassment, victimisation and any other </w:t>
      </w:r>
      <w:r w:rsidR="00741AEB" w:rsidRPr="00440EBF">
        <w:rPr>
          <w:szCs w:val="24"/>
        </w:rPr>
        <w:t>conduct that is prohibited by or under this Act;</w:t>
      </w:r>
    </w:p>
    <w:p w14:paraId="026B174F" w14:textId="77777777" w:rsidR="00741AEB" w:rsidRPr="008D4ADA" w:rsidRDefault="00751215" w:rsidP="003D61E1">
      <w:pPr>
        <w:pStyle w:val="ListParagraph"/>
        <w:numPr>
          <w:ilvl w:val="0"/>
          <w:numId w:val="9"/>
        </w:numPr>
        <w:spacing w:after="120"/>
        <w:jc w:val="both"/>
        <w:rPr>
          <w:szCs w:val="24"/>
        </w:rPr>
      </w:pPr>
      <w:r w:rsidRPr="003728EE">
        <w:rPr>
          <w:szCs w:val="24"/>
        </w:rPr>
        <w:t>A</w:t>
      </w:r>
      <w:r w:rsidR="00741AEB" w:rsidRPr="008D4ADA">
        <w:rPr>
          <w:szCs w:val="24"/>
        </w:rPr>
        <w:t>dvance equality of opportunity between persons who share a relevant protected characteristic and persons who do not share it;</w:t>
      </w:r>
    </w:p>
    <w:p w14:paraId="6169D67D" w14:textId="77777777" w:rsidR="00741AEB" w:rsidRPr="009E22B0" w:rsidRDefault="0039329E" w:rsidP="003D61E1">
      <w:pPr>
        <w:pStyle w:val="ListParagraph"/>
        <w:numPr>
          <w:ilvl w:val="0"/>
          <w:numId w:val="9"/>
        </w:numPr>
        <w:spacing w:after="120"/>
        <w:jc w:val="both"/>
        <w:rPr>
          <w:szCs w:val="24"/>
        </w:rPr>
      </w:pPr>
      <w:r w:rsidRPr="009E22B0">
        <w:rPr>
          <w:szCs w:val="24"/>
        </w:rPr>
        <w:t>F</w:t>
      </w:r>
      <w:r w:rsidR="00741AEB" w:rsidRPr="009E22B0">
        <w:rPr>
          <w:szCs w:val="24"/>
        </w:rPr>
        <w:t>oster good relations between persons who share a relevant protected characteristic and persons who do not share it.</w:t>
      </w:r>
    </w:p>
    <w:p w14:paraId="34565A5F" w14:textId="77777777" w:rsidR="00741AEB" w:rsidRPr="00440EBF" w:rsidRDefault="0020754A" w:rsidP="003D61E1">
      <w:pPr>
        <w:pStyle w:val="ListParagraph"/>
        <w:numPr>
          <w:ilvl w:val="1"/>
          <w:numId w:val="6"/>
        </w:numPr>
        <w:spacing w:after="120"/>
        <w:jc w:val="both"/>
        <w:rPr>
          <w:szCs w:val="24"/>
        </w:rPr>
      </w:pPr>
      <w:r>
        <w:t xml:space="preserve">     </w:t>
      </w:r>
      <w:r w:rsidR="00741AEB" w:rsidRPr="00A969AA">
        <w:t>Having</w:t>
      </w:r>
      <w:r w:rsidR="00741AEB" w:rsidRPr="0039329E">
        <w:rPr>
          <w:szCs w:val="24"/>
        </w:rPr>
        <w:t xml:space="preserve"> due regard to the need to advance equality of opportunity </w:t>
      </w:r>
      <w:r>
        <w:rPr>
          <w:szCs w:val="24"/>
        </w:rPr>
        <w:tab/>
      </w:r>
      <w:r w:rsidR="00741AEB" w:rsidRPr="0039329E">
        <w:rPr>
          <w:szCs w:val="24"/>
        </w:rPr>
        <w:t xml:space="preserve">between persons who share a relevant protected characteristic and </w:t>
      </w:r>
      <w:r>
        <w:rPr>
          <w:szCs w:val="24"/>
        </w:rPr>
        <w:tab/>
      </w:r>
      <w:r w:rsidR="00741AEB" w:rsidRPr="0039329E">
        <w:rPr>
          <w:szCs w:val="24"/>
        </w:rPr>
        <w:t xml:space="preserve">persons who do not share it involves having due regard, in particular, </w:t>
      </w:r>
      <w:r>
        <w:rPr>
          <w:szCs w:val="24"/>
        </w:rPr>
        <w:tab/>
      </w:r>
      <w:r w:rsidR="00741AEB" w:rsidRPr="0039329E">
        <w:rPr>
          <w:szCs w:val="24"/>
        </w:rPr>
        <w:t>to the need to:</w:t>
      </w:r>
    </w:p>
    <w:p w14:paraId="6FD5BAA3" w14:textId="77777777" w:rsidR="00741AEB" w:rsidRPr="008D4ADA" w:rsidRDefault="00751215" w:rsidP="008F1A2F">
      <w:pPr>
        <w:pStyle w:val="ListParagraph"/>
        <w:numPr>
          <w:ilvl w:val="0"/>
          <w:numId w:val="131"/>
        </w:numPr>
        <w:spacing w:after="120"/>
        <w:jc w:val="both"/>
        <w:rPr>
          <w:szCs w:val="24"/>
        </w:rPr>
      </w:pPr>
      <w:r w:rsidRPr="008D4ADA">
        <w:rPr>
          <w:szCs w:val="24"/>
        </w:rPr>
        <w:t>R</w:t>
      </w:r>
      <w:r w:rsidR="00741AEB" w:rsidRPr="008D4ADA">
        <w:rPr>
          <w:szCs w:val="24"/>
        </w:rPr>
        <w:t>emove or minimise disadvantages suffered by persons who share a relevant protected characteristic that are connected to that characteristic;</w:t>
      </w:r>
    </w:p>
    <w:p w14:paraId="7565EE08" w14:textId="77777777" w:rsidR="00741AEB" w:rsidRPr="006B1DE1" w:rsidRDefault="00741AEB" w:rsidP="00720057">
      <w:pPr>
        <w:spacing w:after="120"/>
        <w:ind w:left="720"/>
        <w:jc w:val="both"/>
        <w:rPr>
          <w:szCs w:val="24"/>
        </w:rPr>
      </w:pPr>
      <w:r w:rsidRPr="006B1DE1">
        <w:rPr>
          <w:szCs w:val="24"/>
        </w:rPr>
        <w:t xml:space="preserve">(b) </w:t>
      </w:r>
      <w:r w:rsidR="00751215">
        <w:rPr>
          <w:szCs w:val="24"/>
        </w:rPr>
        <w:t>T</w:t>
      </w:r>
      <w:r w:rsidRPr="006B1DE1">
        <w:rPr>
          <w:szCs w:val="24"/>
        </w:rPr>
        <w:t>ake steps to meet the needs of persons who share a relevant</w:t>
      </w:r>
      <w:r w:rsidR="00B16263">
        <w:rPr>
          <w:szCs w:val="24"/>
        </w:rPr>
        <w:t xml:space="preserve">         </w:t>
      </w:r>
      <w:r w:rsidRPr="006B1DE1">
        <w:rPr>
          <w:szCs w:val="24"/>
        </w:rPr>
        <w:t>protected characteristic that are different from the needs of persons who do not share it;</w:t>
      </w:r>
    </w:p>
    <w:p w14:paraId="62699B9F" w14:textId="77777777" w:rsidR="00741AEB" w:rsidRDefault="00741AEB">
      <w:pPr>
        <w:spacing w:after="240"/>
        <w:ind w:left="720"/>
        <w:jc w:val="both"/>
        <w:rPr>
          <w:szCs w:val="24"/>
        </w:rPr>
      </w:pPr>
      <w:r w:rsidRPr="006B1DE1">
        <w:rPr>
          <w:szCs w:val="24"/>
        </w:rPr>
        <w:t>(c)</w:t>
      </w:r>
      <w:r w:rsidR="0039329E">
        <w:rPr>
          <w:szCs w:val="24"/>
        </w:rPr>
        <w:t xml:space="preserve"> </w:t>
      </w:r>
      <w:r w:rsidRPr="006B1DE1">
        <w:rPr>
          <w:szCs w:val="24"/>
        </w:rPr>
        <w:t xml:space="preserve"> </w:t>
      </w:r>
      <w:r w:rsidR="00751215">
        <w:rPr>
          <w:szCs w:val="24"/>
        </w:rPr>
        <w:t>E</w:t>
      </w:r>
      <w:r w:rsidRPr="006B1DE1">
        <w:rPr>
          <w:szCs w:val="24"/>
        </w:rPr>
        <w:t>ncourage persons who share a relevant protected characteristic to participate in public life or in any other activity in which participation by such persons is disproportionately low.</w:t>
      </w:r>
    </w:p>
    <w:p w14:paraId="08840033" w14:textId="684EEF1E" w:rsidR="00741AEB" w:rsidRPr="008B25B2" w:rsidRDefault="00685647" w:rsidP="00D73C5B">
      <w:pPr>
        <w:spacing w:after="240"/>
        <w:ind w:left="709" w:hanging="709"/>
        <w:jc w:val="both"/>
        <w:rPr>
          <w:szCs w:val="24"/>
        </w:rPr>
      </w:pPr>
      <w:r>
        <w:t>6</w:t>
      </w:r>
      <w:r w:rsidR="0020754A">
        <w:t xml:space="preserve">.4     </w:t>
      </w:r>
      <w:r w:rsidR="00741AEB" w:rsidRPr="00A969AA">
        <w:t>The</w:t>
      </w:r>
      <w:r w:rsidR="00741AEB" w:rsidRPr="0039329E">
        <w:rPr>
          <w:szCs w:val="24"/>
        </w:rPr>
        <w:t xml:space="preserve"> steps involved in mee</w:t>
      </w:r>
      <w:r w:rsidR="00741AEB" w:rsidRPr="00440EBF">
        <w:rPr>
          <w:szCs w:val="24"/>
        </w:rPr>
        <w:t>ting the needs of disabled persons that are</w:t>
      </w:r>
      <w:r w:rsidR="0020754A">
        <w:rPr>
          <w:szCs w:val="24"/>
        </w:rPr>
        <w:t xml:space="preserve"> </w:t>
      </w:r>
      <w:r w:rsidR="0020754A">
        <w:rPr>
          <w:szCs w:val="24"/>
        </w:rPr>
        <w:tab/>
      </w:r>
      <w:r w:rsidR="00741AEB" w:rsidRPr="00440EBF">
        <w:rPr>
          <w:szCs w:val="24"/>
        </w:rPr>
        <w:t>different from the needs of persons who are not disabled include, in</w:t>
      </w:r>
      <w:r w:rsidR="0020754A">
        <w:rPr>
          <w:szCs w:val="24"/>
        </w:rPr>
        <w:t xml:space="preserve"> </w:t>
      </w:r>
      <w:r w:rsidR="0020754A">
        <w:rPr>
          <w:szCs w:val="24"/>
        </w:rPr>
        <w:tab/>
      </w:r>
      <w:r w:rsidR="00741AEB" w:rsidRPr="00440EBF">
        <w:rPr>
          <w:szCs w:val="24"/>
        </w:rPr>
        <w:t>particular, steps to take account of disabled persons’ disabilities.</w:t>
      </w:r>
    </w:p>
    <w:p w14:paraId="4B086B69" w14:textId="7F064444" w:rsidR="00B0165A" w:rsidRPr="0039329E" w:rsidRDefault="0020754A" w:rsidP="003D61E1">
      <w:pPr>
        <w:pStyle w:val="ListParagraph"/>
        <w:numPr>
          <w:ilvl w:val="1"/>
          <w:numId w:val="7"/>
        </w:numPr>
        <w:tabs>
          <w:tab w:val="left" w:pos="709"/>
        </w:tabs>
        <w:spacing w:after="240"/>
        <w:ind w:left="567" w:hanging="567"/>
        <w:jc w:val="both"/>
        <w:rPr>
          <w:szCs w:val="24"/>
        </w:rPr>
      </w:pPr>
      <w:r>
        <w:t xml:space="preserve">  </w:t>
      </w:r>
      <w:r w:rsidR="00741AEB" w:rsidRPr="00A969AA">
        <w:t>Having</w:t>
      </w:r>
      <w:r w:rsidR="00741AEB" w:rsidRPr="0039329E">
        <w:rPr>
          <w:szCs w:val="24"/>
        </w:rPr>
        <w:t xml:space="preserve"> </w:t>
      </w:r>
      <w:r w:rsidR="00741AEB" w:rsidRPr="0031658B">
        <w:t>due</w:t>
      </w:r>
      <w:r w:rsidR="00741AEB" w:rsidRPr="0039329E">
        <w:rPr>
          <w:szCs w:val="24"/>
        </w:rPr>
        <w:t xml:space="preserve"> regard to the need to foster good relations between </w:t>
      </w:r>
      <w:r>
        <w:rPr>
          <w:szCs w:val="24"/>
        </w:rPr>
        <w:tab/>
      </w:r>
      <w:r w:rsidR="00741AEB" w:rsidRPr="0039329E">
        <w:rPr>
          <w:szCs w:val="24"/>
        </w:rPr>
        <w:t xml:space="preserve">persons who share a relevant protected characteristic and persons </w:t>
      </w:r>
      <w:r>
        <w:rPr>
          <w:szCs w:val="24"/>
        </w:rPr>
        <w:tab/>
      </w:r>
      <w:r w:rsidR="00741AEB" w:rsidRPr="0039329E">
        <w:rPr>
          <w:szCs w:val="24"/>
        </w:rPr>
        <w:t xml:space="preserve">who do not share it involves having due regard, in particular, to the </w:t>
      </w:r>
      <w:r>
        <w:rPr>
          <w:szCs w:val="24"/>
        </w:rPr>
        <w:tab/>
      </w:r>
      <w:r w:rsidR="00741AEB" w:rsidRPr="0039329E">
        <w:rPr>
          <w:szCs w:val="24"/>
        </w:rPr>
        <w:t>need to:</w:t>
      </w:r>
    </w:p>
    <w:p w14:paraId="1D0D6E8B" w14:textId="77777777" w:rsidR="00741AEB" w:rsidRPr="008B25B2" w:rsidRDefault="00B0165A" w:rsidP="009E22B0">
      <w:pPr>
        <w:spacing w:after="240"/>
        <w:rPr>
          <w:szCs w:val="24"/>
        </w:rPr>
      </w:pPr>
      <w:r>
        <w:rPr>
          <w:szCs w:val="24"/>
        </w:rPr>
        <w:t xml:space="preserve">           </w:t>
      </w:r>
      <w:r w:rsidRPr="0039329E">
        <w:rPr>
          <w:szCs w:val="24"/>
        </w:rPr>
        <w:t xml:space="preserve">a)  </w:t>
      </w:r>
      <w:r w:rsidR="00741AEB" w:rsidRPr="00440EBF">
        <w:rPr>
          <w:szCs w:val="24"/>
        </w:rPr>
        <w:t>Tackle prejudice, and</w:t>
      </w:r>
    </w:p>
    <w:p w14:paraId="27568458" w14:textId="77777777" w:rsidR="00741AEB" w:rsidRPr="008D4ADA" w:rsidRDefault="00741AEB" w:rsidP="003D61E1">
      <w:pPr>
        <w:pStyle w:val="ListParagraph"/>
        <w:numPr>
          <w:ilvl w:val="0"/>
          <w:numId w:val="8"/>
        </w:numPr>
        <w:spacing w:after="240"/>
        <w:jc w:val="both"/>
        <w:rPr>
          <w:szCs w:val="24"/>
        </w:rPr>
      </w:pPr>
      <w:r w:rsidRPr="003728EE">
        <w:rPr>
          <w:szCs w:val="24"/>
        </w:rPr>
        <w:t>Promote understanding.</w:t>
      </w:r>
    </w:p>
    <w:p w14:paraId="3D1FE023" w14:textId="72E20D7A" w:rsidR="00741AEB" w:rsidRPr="00440EBF" w:rsidRDefault="00741AEB" w:rsidP="003D61E1">
      <w:pPr>
        <w:pStyle w:val="ListParagraph"/>
        <w:numPr>
          <w:ilvl w:val="1"/>
          <w:numId w:val="7"/>
        </w:numPr>
        <w:spacing w:after="240"/>
        <w:ind w:left="709" w:hanging="709"/>
        <w:jc w:val="both"/>
        <w:rPr>
          <w:szCs w:val="24"/>
        </w:rPr>
      </w:pPr>
      <w:r w:rsidRPr="00A969AA">
        <w:t>Compliance</w:t>
      </w:r>
      <w:r w:rsidRPr="0039329E">
        <w:rPr>
          <w:szCs w:val="24"/>
        </w:rPr>
        <w:t xml:space="preserve"> with the duties in this section </w:t>
      </w:r>
      <w:r w:rsidRPr="00440EBF">
        <w:rPr>
          <w:szCs w:val="24"/>
        </w:rPr>
        <w:t xml:space="preserve">may involve treating some </w:t>
      </w:r>
      <w:r w:rsidR="0020754A">
        <w:rPr>
          <w:szCs w:val="24"/>
        </w:rPr>
        <w:tab/>
      </w:r>
      <w:r w:rsidRPr="0039329E">
        <w:rPr>
          <w:szCs w:val="24"/>
        </w:rPr>
        <w:t xml:space="preserve">persons more favourably than others; but that is not to be taken as </w:t>
      </w:r>
      <w:r w:rsidR="0020754A">
        <w:rPr>
          <w:szCs w:val="24"/>
        </w:rPr>
        <w:tab/>
      </w:r>
      <w:r w:rsidRPr="0039329E">
        <w:rPr>
          <w:szCs w:val="24"/>
        </w:rPr>
        <w:t xml:space="preserve">permitting conduct that would otherwise be prohibited by or under this </w:t>
      </w:r>
      <w:r w:rsidR="0020754A">
        <w:rPr>
          <w:szCs w:val="24"/>
        </w:rPr>
        <w:tab/>
      </w:r>
      <w:r w:rsidRPr="0039329E">
        <w:rPr>
          <w:szCs w:val="24"/>
        </w:rPr>
        <w:t>Act. The relevant protected characteristics are:</w:t>
      </w:r>
    </w:p>
    <w:p w14:paraId="0AE67316" w14:textId="77777777" w:rsidR="00741AEB" w:rsidRPr="006B1DE1" w:rsidRDefault="00741AEB" w:rsidP="00173DA5">
      <w:pPr>
        <w:pStyle w:val="ListParagraph"/>
        <w:numPr>
          <w:ilvl w:val="0"/>
          <w:numId w:val="2"/>
        </w:numPr>
        <w:spacing w:after="240"/>
        <w:jc w:val="both"/>
        <w:rPr>
          <w:szCs w:val="24"/>
        </w:rPr>
      </w:pPr>
      <w:r w:rsidRPr="006B1DE1">
        <w:rPr>
          <w:szCs w:val="24"/>
        </w:rPr>
        <w:t>Age</w:t>
      </w:r>
    </w:p>
    <w:p w14:paraId="45D9DAB3" w14:textId="77777777" w:rsidR="00741AEB" w:rsidRPr="006B1DE1" w:rsidRDefault="00741AEB" w:rsidP="00173DA5">
      <w:pPr>
        <w:pStyle w:val="ListParagraph"/>
        <w:numPr>
          <w:ilvl w:val="0"/>
          <w:numId w:val="2"/>
        </w:numPr>
        <w:spacing w:after="240"/>
        <w:jc w:val="both"/>
        <w:rPr>
          <w:szCs w:val="24"/>
        </w:rPr>
      </w:pPr>
      <w:r w:rsidRPr="006B1DE1">
        <w:rPr>
          <w:szCs w:val="24"/>
        </w:rPr>
        <w:t>Disability</w:t>
      </w:r>
    </w:p>
    <w:p w14:paraId="51A7D859" w14:textId="77777777" w:rsidR="00741AEB" w:rsidRPr="006B1DE1" w:rsidRDefault="00741AEB" w:rsidP="00173DA5">
      <w:pPr>
        <w:pStyle w:val="ListParagraph"/>
        <w:numPr>
          <w:ilvl w:val="0"/>
          <w:numId w:val="2"/>
        </w:numPr>
        <w:spacing w:after="240"/>
        <w:jc w:val="both"/>
        <w:rPr>
          <w:szCs w:val="24"/>
        </w:rPr>
      </w:pPr>
      <w:r w:rsidRPr="006B1DE1">
        <w:rPr>
          <w:szCs w:val="24"/>
        </w:rPr>
        <w:t>Gender reassignment</w:t>
      </w:r>
    </w:p>
    <w:p w14:paraId="2F23A793" w14:textId="77777777" w:rsidR="00741AEB" w:rsidRPr="006B1DE1" w:rsidRDefault="00741AEB" w:rsidP="00173DA5">
      <w:pPr>
        <w:pStyle w:val="ListParagraph"/>
        <w:numPr>
          <w:ilvl w:val="0"/>
          <w:numId w:val="2"/>
        </w:numPr>
        <w:spacing w:after="240"/>
        <w:jc w:val="both"/>
        <w:rPr>
          <w:szCs w:val="24"/>
        </w:rPr>
      </w:pPr>
      <w:r w:rsidRPr="006B1DE1">
        <w:rPr>
          <w:szCs w:val="24"/>
        </w:rPr>
        <w:t>Pregnancy and maternity</w:t>
      </w:r>
    </w:p>
    <w:p w14:paraId="05E072B2" w14:textId="5BD1F5A9" w:rsidR="00741AEB" w:rsidRPr="006B1DE1" w:rsidRDefault="00531BC8" w:rsidP="00173DA5">
      <w:pPr>
        <w:pStyle w:val="ListParagraph"/>
        <w:numPr>
          <w:ilvl w:val="0"/>
          <w:numId w:val="2"/>
        </w:numPr>
        <w:spacing w:after="240"/>
        <w:jc w:val="both"/>
        <w:rPr>
          <w:szCs w:val="24"/>
        </w:rPr>
      </w:pPr>
      <w:r>
        <w:rPr>
          <w:szCs w:val="24"/>
        </w:rPr>
        <w:t>Race</w:t>
      </w:r>
    </w:p>
    <w:p w14:paraId="0E9CC44C" w14:textId="77777777" w:rsidR="00741AEB" w:rsidRPr="006B1DE1" w:rsidRDefault="00741AEB" w:rsidP="00173DA5">
      <w:pPr>
        <w:pStyle w:val="ListParagraph"/>
        <w:numPr>
          <w:ilvl w:val="0"/>
          <w:numId w:val="2"/>
        </w:numPr>
        <w:spacing w:after="240"/>
        <w:jc w:val="both"/>
        <w:rPr>
          <w:szCs w:val="24"/>
        </w:rPr>
      </w:pPr>
      <w:r w:rsidRPr="006B1DE1">
        <w:rPr>
          <w:szCs w:val="24"/>
        </w:rPr>
        <w:t>Religion or belief</w:t>
      </w:r>
    </w:p>
    <w:p w14:paraId="2F2362D7" w14:textId="77777777" w:rsidR="00741AEB" w:rsidRPr="006B1DE1" w:rsidRDefault="00741AEB" w:rsidP="00173DA5">
      <w:pPr>
        <w:pStyle w:val="ListParagraph"/>
        <w:numPr>
          <w:ilvl w:val="0"/>
          <w:numId w:val="2"/>
        </w:numPr>
        <w:spacing w:after="240"/>
        <w:jc w:val="both"/>
        <w:rPr>
          <w:szCs w:val="24"/>
        </w:rPr>
      </w:pPr>
      <w:r w:rsidRPr="006B1DE1">
        <w:rPr>
          <w:szCs w:val="24"/>
        </w:rPr>
        <w:t>Sex</w:t>
      </w:r>
    </w:p>
    <w:p w14:paraId="7B9393AA" w14:textId="77777777" w:rsidR="00741AEB" w:rsidRPr="006B1DE1" w:rsidRDefault="00741AEB" w:rsidP="00173DA5">
      <w:pPr>
        <w:pStyle w:val="ListParagraph"/>
        <w:numPr>
          <w:ilvl w:val="0"/>
          <w:numId w:val="2"/>
        </w:numPr>
        <w:spacing w:after="240"/>
        <w:jc w:val="both"/>
        <w:rPr>
          <w:szCs w:val="24"/>
        </w:rPr>
      </w:pPr>
      <w:r w:rsidRPr="006B1DE1">
        <w:rPr>
          <w:szCs w:val="24"/>
        </w:rPr>
        <w:t>Sexual orientation</w:t>
      </w:r>
    </w:p>
    <w:p w14:paraId="6794DE7C" w14:textId="77777777" w:rsidR="00741AEB" w:rsidRDefault="00741AEB" w:rsidP="00173DA5">
      <w:pPr>
        <w:pStyle w:val="ListParagraph"/>
        <w:numPr>
          <w:ilvl w:val="0"/>
          <w:numId w:val="2"/>
        </w:numPr>
        <w:spacing w:after="240"/>
        <w:jc w:val="both"/>
        <w:rPr>
          <w:szCs w:val="24"/>
        </w:rPr>
      </w:pPr>
      <w:r w:rsidRPr="006B1DE1">
        <w:rPr>
          <w:szCs w:val="24"/>
        </w:rPr>
        <w:t xml:space="preserve">Marriage and Civil partnership       </w:t>
      </w:r>
    </w:p>
    <w:p w14:paraId="5528334E" w14:textId="017C476A" w:rsidR="005E0EC3" w:rsidRPr="00BD22E6" w:rsidRDefault="00720057" w:rsidP="003D61E1">
      <w:pPr>
        <w:pStyle w:val="ListParagraph"/>
        <w:numPr>
          <w:ilvl w:val="1"/>
          <w:numId w:val="7"/>
        </w:numPr>
        <w:spacing w:after="240"/>
        <w:ind w:left="426" w:hanging="568"/>
        <w:jc w:val="both"/>
        <w:rPr>
          <w:rFonts w:cs="Arial"/>
          <w:szCs w:val="24"/>
        </w:rPr>
      </w:pPr>
      <w:r>
        <w:t xml:space="preserve">  </w:t>
      </w:r>
      <w:r w:rsidR="00B0165A">
        <w:t xml:space="preserve"> </w:t>
      </w:r>
      <w:r w:rsidR="006D7595">
        <w:t xml:space="preserve"> </w:t>
      </w:r>
      <w:r w:rsidR="00AD73E5" w:rsidRPr="006B1DE1">
        <w:t>A full equalities impact asses</w:t>
      </w:r>
      <w:r w:rsidR="0021334B">
        <w:t>sment was completed on the 2017</w:t>
      </w:r>
      <w:r w:rsidR="0067045D">
        <w:t>/18</w:t>
      </w:r>
      <w:r w:rsidR="00AD73E5" w:rsidRPr="006B1DE1">
        <w:t xml:space="preserve"> </w:t>
      </w:r>
      <w:r w:rsidR="00B0165A">
        <w:tab/>
      </w:r>
      <w:r w:rsidR="00AD73E5" w:rsidRPr="006B1DE1">
        <w:t xml:space="preserve">budget when the budget was set by Full Council. Equalities </w:t>
      </w:r>
      <w:r w:rsidR="00B0165A">
        <w:tab/>
      </w:r>
      <w:r w:rsidR="00AD73E5" w:rsidRPr="006B1DE1">
        <w:t xml:space="preserve">implications are taken into account by individual directorates whilst </w:t>
      </w:r>
      <w:r w:rsidR="00BD22E6">
        <w:tab/>
      </w:r>
      <w:r w:rsidR="00AD73E5" w:rsidRPr="006B1DE1">
        <w:t xml:space="preserve">running services and making decisions to </w:t>
      </w:r>
      <w:proofErr w:type="spellStart"/>
      <w:r w:rsidR="00AD73E5" w:rsidRPr="006B1DE1">
        <w:t>vire</w:t>
      </w:r>
      <w:proofErr w:type="spellEnd"/>
      <w:r w:rsidR="00AD73E5" w:rsidRPr="006B1DE1">
        <w:t xml:space="preserve"> money. A full equality </w:t>
      </w:r>
      <w:r w:rsidR="00BD22E6">
        <w:tab/>
      </w:r>
      <w:r w:rsidR="00AD73E5" w:rsidRPr="006B1DE1">
        <w:t>impact assessment will be c</w:t>
      </w:r>
      <w:r w:rsidR="0021334B">
        <w:t>ompleted on the budget for 2018</w:t>
      </w:r>
      <w:r w:rsidR="00DA17A5">
        <w:t>/19</w:t>
      </w:r>
      <w:r w:rsidR="0021334B">
        <w:t>.</w:t>
      </w:r>
    </w:p>
    <w:p w14:paraId="1C580A18" w14:textId="77777777" w:rsidR="00F67A46" w:rsidRPr="00F67A46" w:rsidRDefault="00F67A46" w:rsidP="00F67A46"/>
    <w:p w14:paraId="31C179B7" w14:textId="575CF27F" w:rsidR="00741AEB" w:rsidRDefault="00685647" w:rsidP="00835EA0">
      <w:pPr>
        <w:pStyle w:val="Heading2"/>
      </w:pPr>
      <w:r>
        <w:t>7</w:t>
      </w:r>
      <w:r w:rsidR="009E5B1B">
        <w:t xml:space="preserve">. </w:t>
      </w:r>
      <w:r w:rsidR="00AA383D">
        <w:t xml:space="preserve"> </w:t>
      </w:r>
      <w:r w:rsidR="00741AEB" w:rsidRPr="006B1DE1">
        <w:t>Financial Implications</w:t>
      </w:r>
    </w:p>
    <w:p w14:paraId="66672E5B" w14:textId="77777777" w:rsidR="00BD22E6" w:rsidRPr="0039329E" w:rsidRDefault="00BD22E6" w:rsidP="009E22B0"/>
    <w:p w14:paraId="1F6A57D7" w14:textId="7CD4B5D1" w:rsidR="00741AEB" w:rsidRDefault="00374CD9" w:rsidP="009E22B0">
      <w:pPr>
        <w:spacing w:after="240"/>
        <w:ind w:left="360"/>
      </w:pPr>
      <w:r w:rsidRPr="001C46E8">
        <w:t>F</w:t>
      </w:r>
      <w:r w:rsidR="00741AEB" w:rsidRPr="001C46E8">
        <w:t>inancial matters are integral to the report.</w:t>
      </w:r>
    </w:p>
    <w:p w14:paraId="4DB89378" w14:textId="23CFD5DE" w:rsidR="00741AEB" w:rsidRDefault="00685647" w:rsidP="009E5B1B">
      <w:pPr>
        <w:pStyle w:val="Heading2"/>
      </w:pPr>
      <w:r>
        <w:t>8</w:t>
      </w:r>
      <w:r w:rsidR="009E5B1B">
        <w:t xml:space="preserve">. </w:t>
      </w:r>
      <w:r w:rsidR="00AA383D">
        <w:t xml:space="preserve"> </w:t>
      </w:r>
      <w:r w:rsidR="00741AEB" w:rsidRPr="006B1DE1">
        <w:t>Performance Issues</w:t>
      </w:r>
    </w:p>
    <w:p w14:paraId="3CFE3D8F" w14:textId="77777777" w:rsidR="00BD22E6" w:rsidRPr="0039329E" w:rsidRDefault="00BD22E6" w:rsidP="009E22B0"/>
    <w:p w14:paraId="008C5E0F" w14:textId="77777777" w:rsidR="0021777C" w:rsidRDefault="0021777C" w:rsidP="00FC2412">
      <w:pPr>
        <w:ind w:left="360"/>
        <w:jc w:val="both"/>
      </w:pPr>
      <w:r w:rsidRPr="0021777C">
        <w:t>Good financial performance is essential to achieving a balanced budget.  The financial performance is integrated with the strategic performance of the Council through quarterly Directorate Improvement Boards which consider the financial position alongside performance including key projects, service KPIs (including customer data and complaints) and workforce. Monitoring of finance and performance is reported regularly to the Corporate Strategic Board and Cabinet and is also considered by the Council's Performance and Finance Scrutiny Sub- Committee.</w:t>
      </w:r>
    </w:p>
    <w:p w14:paraId="24012763" w14:textId="77777777" w:rsidR="0021777C" w:rsidRPr="0021777C" w:rsidRDefault="0021777C" w:rsidP="00FC2412">
      <w:pPr>
        <w:ind w:left="360"/>
        <w:jc w:val="both"/>
      </w:pPr>
    </w:p>
    <w:p w14:paraId="5B50D4CF" w14:textId="06BF9CF8" w:rsidR="005E4706" w:rsidRDefault="0021777C" w:rsidP="00FC2412">
      <w:pPr>
        <w:ind w:left="360"/>
        <w:jc w:val="both"/>
      </w:pPr>
      <w:r w:rsidRPr="0021777C">
        <w:t>The</w:t>
      </w:r>
      <w:r w:rsidR="00E210B9">
        <w:t xml:space="preserve"> Revenue</w:t>
      </w:r>
      <w:r w:rsidRPr="0021777C">
        <w:t xml:space="preserve"> </w:t>
      </w:r>
      <w:r w:rsidR="004C134F">
        <w:t xml:space="preserve">forecast position at </w:t>
      </w:r>
      <w:r w:rsidR="003B4D84">
        <w:t xml:space="preserve">Quarter </w:t>
      </w:r>
      <w:r w:rsidR="00C8529F">
        <w:t>2</w:t>
      </w:r>
      <w:r w:rsidR="004C134F">
        <w:t xml:space="preserve"> is showing a balanced position.</w:t>
      </w:r>
      <w:r w:rsidRPr="0021777C">
        <w:t xml:space="preserve"> </w:t>
      </w:r>
    </w:p>
    <w:p w14:paraId="7368E912" w14:textId="77777777" w:rsidR="008B3424" w:rsidRDefault="008B3424" w:rsidP="00FC2412">
      <w:pPr>
        <w:ind w:left="360"/>
        <w:jc w:val="both"/>
      </w:pPr>
    </w:p>
    <w:p w14:paraId="0B44938D" w14:textId="537FF9DE" w:rsidR="0021777C" w:rsidRDefault="00560CCD" w:rsidP="00FC2412">
      <w:pPr>
        <w:ind w:left="360"/>
        <w:jc w:val="both"/>
      </w:pPr>
      <w:r w:rsidRPr="00191901">
        <w:t>For the 2017</w:t>
      </w:r>
      <w:r w:rsidR="00FF50F6">
        <w:t>/18</w:t>
      </w:r>
      <w:r w:rsidR="0021777C" w:rsidRPr="00191901">
        <w:t xml:space="preserve"> savings built into the MTFS,</w:t>
      </w:r>
      <w:r w:rsidR="00FF50F6">
        <w:t xml:space="preserve"> the overall position </w:t>
      </w:r>
      <w:r w:rsidR="003B4D84">
        <w:t>as at Q</w:t>
      </w:r>
      <w:r w:rsidR="00C8529F">
        <w:t>2</w:t>
      </w:r>
      <w:r w:rsidR="003B4D84">
        <w:t xml:space="preserve"> is </w:t>
      </w:r>
      <w:r w:rsidR="00FF50F6">
        <w:t xml:space="preserve"> that 13</w:t>
      </w:r>
      <w:r w:rsidR="0021777C" w:rsidRPr="00191901">
        <w:t>% of the savings are RAG rated as blue (achieved and</w:t>
      </w:r>
      <w:r w:rsidR="00FF50F6">
        <w:t xml:space="preserve"> banked),  </w:t>
      </w:r>
      <w:r w:rsidR="003B4D84">
        <w:t>5</w:t>
      </w:r>
      <w:r w:rsidR="00C8529F">
        <w:t>0</w:t>
      </w:r>
      <w:r w:rsidR="0021777C" w:rsidRPr="00191901">
        <w:t>% green (ach</w:t>
      </w:r>
      <w:r w:rsidR="00FF50F6">
        <w:t>ievement of saving on track), 2</w:t>
      </w:r>
      <w:r w:rsidR="00C8529F">
        <w:t>1</w:t>
      </w:r>
      <w:r w:rsidR="0021777C" w:rsidRPr="00191901">
        <w:t>% amber (saving only partially ach</w:t>
      </w:r>
      <w:r w:rsidR="003C565A">
        <w:t xml:space="preserve">ieved or risks remaining) </w:t>
      </w:r>
      <w:r w:rsidR="00F277FB" w:rsidRPr="00191901">
        <w:t xml:space="preserve">and </w:t>
      </w:r>
      <w:r w:rsidR="00FF50F6">
        <w:t>1</w:t>
      </w:r>
      <w:r w:rsidR="00C8529F">
        <w:t>6</w:t>
      </w:r>
      <w:r w:rsidR="0021777C" w:rsidRPr="00191901">
        <w:t>% red (agreed saving not achievable).</w:t>
      </w:r>
    </w:p>
    <w:p w14:paraId="2E4CBF6B" w14:textId="77777777" w:rsidR="008B3424" w:rsidRDefault="008B3424" w:rsidP="00FC2412">
      <w:pPr>
        <w:ind w:left="360"/>
        <w:jc w:val="both"/>
      </w:pPr>
    </w:p>
    <w:p w14:paraId="51583932" w14:textId="010C3A95" w:rsidR="008B3424" w:rsidRDefault="008B3424" w:rsidP="00FC2412">
      <w:pPr>
        <w:ind w:left="360"/>
        <w:jc w:val="both"/>
      </w:pPr>
      <w:r w:rsidRPr="004926C1">
        <w:t xml:space="preserve">The Capital Programme is projecting </w:t>
      </w:r>
      <w:proofErr w:type="gramStart"/>
      <w:r w:rsidR="00AC34B2" w:rsidRPr="004926C1">
        <w:t>a spend</w:t>
      </w:r>
      <w:proofErr w:type="gramEnd"/>
      <w:r w:rsidR="00AC34B2" w:rsidRPr="004926C1">
        <w:t xml:space="preserve"> of </w:t>
      </w:r>
      <w:r w:rsidR="00F342FE" w:rsidRPr="004926C1">
        <w:t>83</w:t>
      </w:r>
      <w:r w:rsidR="00AC34B2" w:rsidRPr="004926C1">
        <w:t xml:space="preserve">% as at quarter </w:t>
      </w:r>
      <w:r w:rsidR="00F342FE" w:rsidRPr="004926C1">
        <w:t>2</w:t>
      </w:r>
      <w:r w:rsidR="00AC34B2">
        <w:t>.</w:t>
      </w:r>
    </w:p>
    <w:p w14:paraId="7A88EFEC" w14:textId="77777777" w:rsidR="0021777C" w:rsidRPr="003C2EB7" w:rsidRDefault="0021777C" w:rsidP="00FC2412">
      <w:pPr>
        <w:jc w:val="both"/>
      </w:pPr>
    </w:p>
    <w:p w14:paraId="00C13CC7" w14:textId="77777777" w:rsidR="009464CF" w:rsidRPr="006B1DE1" w:rsidRDefault="009464CF" w:rsidP="00741AEB"/>
    <w:p w14:paraId="10454A81" w14:textId="774C766B" w:rsidR="00741AEB" w:rsidRPr="006B1DE1" w:rsidRDefault="00685647" w:rsidP="00741AEB">
      <w:pPr>
        <w:rPr>
          <w:b/>
          <w:sz w:val="28"/>
          <w:szCs w:val="28"/>
        </w:rPr>
      </w:pPr>
      <w:r>
        <w:rPr>
          <w:b/>
          <w:sz w:val="28"/>
          <w:szCs w:val="28"/>
        </w:rPr>
        <w:t>9</w:t>
      </w:r>
      <w:r w:rsidR="00D73C5B">
        <w:rPr>
          <w:b/>
          <w:sz w:val="28"/>
          <w:szCs w:val="28"/>
        </w:rPr>
        <w:t>.</w:t>
      </w:r>
      <w:r w:rsidR="00AA383D">
        <w:rPr>
          <w:b/>
          <w:sz w:val="28"/>
          <w:szCs w:val="28"/>
        </w:rPr>
        <w:t xml:space="preserve"> </w:t>
      </w:r>
      <w:r w:rsidR="00741AEB" w:rsidRPr="006B1DE1">
        <w:rPr>
          <w:b/>
          <w:sz w:val="28"/>
          <w:szCs w:val="28"/>
        </w:rPr>
        <w:t>Risk Management Implications</w:t>
      </w:r>
    </w:p>
    <w:p w14:paraId="4D47F0C9" w14:textId="77777777" w:rsidR="00741AEB" w:rsidRDefault="00741AEB" w:rsidP="009E22B0">
      <w:pPr>
        <w:spacing w:after="240"/>
        <w:ind w:left="360"/>
      </w:pPr>
      <w:r w:rsidRPr="00374CD9">
        <w:t>The risks to the Council and how they are being managed are set out in the report.</w:t>
      </w:r>
    </w:p>
    <w:p w14:paraId="5BED1DA8" w14:textId="77777777" w:rsidR="005378F7" w:rsidRDefault="005378F7" w:rsidP="009E22B0">
      <w:pPr>
        <w:spacing w:after="240"/>
        <w:ind w:left="360"/>
      </w:pPr>
      <w:r w:rsidRPr="005378F7">
        <w:t>Risks are included on the Directorate risk registers</w:t>
      </w:r>
    </w:p>
    <w:p w14:paraId="7F0F91CA" w14:textId="4F3D5860" w:rsidR="00741AEB" w:rsidRPr="006B1DE1" w:rsidRDefault="006F4358" w:rsidP="00D73C5B">
      <w:pPr>
        <w:pStyle w:val="ListParagraph"/>
        <w:keepNext/>
        <w:spacing w:after="240"/>
        <w:ind w:left="0"/>
        <w:rPr>
          <w:b/>
          <w:sz w:val="28"/>
          <w:szCs w:val="28"/>
        </w:rPr>
      </w:pPr>
      <w:r>
        <w:rPr>
          <w:b/>
          <w:sz w:val="28"/>
          <w:szCs w:val="28"/>
        </w:rPr>
        <w:t>10</w:t>
      </w:r>
      <w:r w:rsidR="00AA383D">
        <w:rPr>
          <w:b/>
          <w:sz w:val="28"/>
          <w:szCs w:val="28"/>
        </w:rPr>
        <w:t xml:space="preserve">. </w:t>
      </w:r>
      <w:r w:rsidR="00741AEB" w:rsidRPr="006B1DE1">
        <w:rPr>
          <w:b/>
          <w:sz w:val="28"/>
          <w:szCs w:val="28"/>
        </w:rPr>
        <w:t>Council Priorities</w:t>
      </w:r>
    </w:p>
    <w:p w14:paraId="1358F9DB" w14:textId="77777777" w:rsidR="00741AEB" w:rsidRPr="006B1DE1" w:rsidRDefault="00741AEB" w:rsidP="009E22B0">
      <w:pPr>
        <w:spacing w:after="240"/>
        <w:ind w:left="360"/>
        <w:rPr>
          <w:b/>
          <w:sz w:val="28"/>
          <w:szCs w:val="28"/>
        </w:rPr>
      </w:pPr>
      <w:r w:rsidRPr="00677491">
        <w:t>The</w:t>
      </w:r>
      <w:r w:rsidRPr="006B1DE1">
        <w:rPr>
          <w:rFonts w:cs="Arial"/>
          <w:szCs w:val="24"/>
        </w:rPr>
        <w:t xml:space="preserve"> </w:t>
      </w:r>
      <w:r w:rsidRPr="00A969AA">
        <w:t>Council’s</w:t>
      </w:r>
      <w:r w:rsidRPr="006B1DE1">
        <w:rPr>
          <w:rFonts w:cs="Arial"/>
          <w:szCs w:val="24"/>
        </w:rPr>
        <w:t xml:space="preserve"> vision is:</w:t>
      </w:r>
      <w:r w:rsidRPr="006B1DE1">
        <w:rPr>
          <w:rFonts w:cs="Arial"/>
          <w:szCs w:val="24"/>
        </w:rPr>
        <w:tab/>
      </w:r>
    </w:p>
    <w:p w14:paraId="5776099E" w14:textId="77777777" w:rsidR="00741AEB" w:rsidRPr="006B1DE1" w:rsidRDefault="00741AEB" w:rsidP="00741AEB">
      <w:pPr>
        <w:rPr>
          <w:rFonts w:cs="Arial"/>
          <w:szCs w:val="24"/>
        </w:rPr>
      </w:pPr>
    </w:p>
    <w:p w14:paraId="665BE20A" w14:textId="77777777" w:rsidR="00741AEB" w:rsidRPr="006B1DE1" w:rsidRDefault="00741AEB" w:rsidP="00741AEB">
      <w:pPr>
        <w:rPr>
          <w:rFonts w:cs="Arial"/>
          <w:szCs w:val="24"/>
        </w:rPr>
      </w:pPr>
      <w:r w:rsidRPr="006B1DE1">
        <w:rPr>
          <w:rFonts w:cs="Arial"/>
          <w:b/>
          <w:szCs w:val="24"/>
        </w:rPr>
        <w:t>Working Together to Make a Difference for Harrow</w:t>
      </w:r>
      <w:r w:rsidRPr="006B1DE1">
        <w:rPr>
          <w:rFonts w:cs="Arial"/>
          <w:szCs w:val="24"/>
        </w:rPr>
        <w:t xml:space="preserve"> </w:t>
      </w:r>
    </w:p>
    <w:p w14:paraId="6DFB8C32" w14:textId="77777777" w:rsidR="00741AEB" w:rsidRPr="006B1DE1" w:rsidRDefault="00741AEB" w:rsidP="00741AEB">
      <w:pPr>
        <w:rPr>
          <w:rFonts w:cs="Arial"/>
          <w:szCs w:val="24"/>
        </w:rPr>
      </w:pPr>
    </w:p>
    <w:p w14:paraId="663E4FF3" w14:textId="77777777" w:rsidR="00741AEB" w:rsidRPr="006B1DE1" w:rsidRDefault="00741AEB" w:rsidP="009E22B0">
      <w:pPr>
        <w:spacing w:after="240"/>
        <w:ind w:left="360"/>
        <w:rPr>
          <w:rFonts w:cs="Arial"/>
          <w:szCs w:val="24"/>
        </w:rPr>
      </w:pPr>
      <w:r w:rsidRPr="006B1DE1">
        <w:rPr>
          <w:rFonts w:cs="Arial"/>
          <w:szCs w:val="24"/>
        </w:rPr>
        <w:t xml:space="preserve">The </w:t>
      </w:r>
      <w:r w:rsidRPr="0031658B">
        <w:rPr>
          <w:rFonts w:cs="Arial"/>
          <w:szCs w:val="24"/>
        </w:rPr>
        <w:t>Council’s</w:t>
      </w:r>
      <w:r w:rsidRPr="006B1DE1">
        <w:rPr>
          <w:rFonts w:cs="Arial"/>
          <w:szCs w:val="24"/>
        </w:rPr>
        <w:t xml:space="preserve"> priorities are:</w:t>
      </w:r>
    </w:p>
    <w:p w14:paraId="7F8E0BCB" w14:textId="77777777" w:rsidR="00741AEB" w:rsidRPr="006B1DE1" w:rsidRDefault="00741AEB" w:rsidP="00741AEB">
      <w:pPr>
        <w:jc w:val="both"/>
      </w:pPr>
    </w:p>
    <w:p w14:paraId="076767E1" w14:textId="77777777" w:rsidR="00741AEB" w:rsidRPr="006B1DE1" w:rsidRDefault="00741AEB" w:rsidP="00741AEB">
      <w:pPr>
        <w:tabs>
          <w:tab w:val="left" w:pos="748"/>
        </w:tabs>
        <w:ind w:left="1058" w:hanging="349"/>
        <w:jc w:val="both"/>
        <w:rPr>
          <w:rFonts w:cs="Arial"/>
          <w:szCs w:val="24"/>
        </w:rPr>
      </w:pPr>
      <w:r w:rsidRPr="006B1DE1">
        <w:rPr>
          <w:rFonts w:cs="Arial"/>
          <w:szCs w:val="24"/>
        </w:rPr>
        <w:t>Making a difference for the vulnerable</w:t>
      </w:r>
    </w:p>
    <w:p w14:paraId="2508E341" w14:textId="77777777" w:rsidR="00741AEB" w:rsidRPr="006B1DE1" w:rsidRDefault="00741AEB" w:rsidP="00741AEB">
      <w:pPr>
        <w:tabs>
          <w:tab w:val="left" w:pos="748"/>
        </w:tabs>
        <w:suppressAutoHyphens/>
        <w:ind w:left="1058" w:hanging="349"/>
        <w:jc w:val="both"/>
        <w:rPr>
          <w:rFonts w:cs="Arial"/>
          <w:szCs w:val="24"/>
        </w:rPr>
      </w:pPr>
      <w:r w:rsidRPr="006B1DE1">
        <w:rPr>
          <w:rFonts w:cs="Arial"/>
          <w:szCs w:val="24"/>
        </w:rPr>
        <w:t>Making a difference for communities</w:t>
      </w:r>
    </w:p>
    <w:p w14:paraId="6102F726" w14:textId="77777777" w:rsidR="00741AEB" w:rsidRPr="006B1DE1" w:rsidRDefault="00741AEB" w:rsidP="00741AEB">
      <w:pPr>
        <w:tabs>
          <w:tab w:val="left" w:pos="748"/>
        </w:tabs>
        <w:suppressAutoHyphens/>
        <w:ind w:left="1058" w:hanging="349"/>
        <w:jc w:val="both"/>
        <w:rPr>
          <w:rFonts w:cs="Arial"/>
          <w:szCs w:val="24"/>
        </w:rPr>
      </w:pPr>
      <w:r w:rsidRPr="006B1DE1">
        <w:rPr>
          <w:rFonts w:cs="Arial"/>
          <w:szCs w:val="24"/>
        </w:rPr>
        <w:t>Making a difference for local businesses</w:t>
      </w:r>
    </w:p>
    <w:p w14:paraId="49D05208" w14:textId="77777777" w:rsidR="00741AEB" w:rsidRPr="006B1DE1" w:rsidRDefault="00741AEB" w:rsidP="00741AEB">
      <w:pPr>
        <w:tabs>
          <w:tab w:val="left" w:pos="748"/>
        </w:tabs>
        <w:suppressAutoHyphens/>
        <w:spacing w:after="240"/>
        <w:ind w:left="1058" w:hanging="349"/>
        <w:jc w:val="both"/>
        <w:rPr>
          <w:rFonts w:cs="Arial"/>
          <w:szCs w:val="24"/>
        </w:rPr>
      </w:pPr>
      <w:r w:rsidRPr="006B1DE1">
        <w:rPr>
          <w:rFonts w:cs="Arial"/>
          <w:szCs w:val="24"/>
        </w:rPr>
        <w:t>Making a difference for families</w:t>
      </w:r>
    </w:p>
    <w:p w14:paraId="57E7E5F4" w14:textId="77777777" w:rsidR="00741AEB" w:rsidRPr="006B1DE1" w:rsidRDefault="00741AEB" w:rsidP="009E22B0">
      <w:pPr>
        <w:spacing w:after="240"/>
        <w:ind w:left="360"/>
      </w:pPr>
      <w:r w:rsidRPr="006B1DE1">
        <w:t xml:space="preserve">This </w:t>
      </w:r>
      <w:r w:rsidRPr="0031658B">
        <w:rPr>
          <w:rFonts w:cs="Arial"/>
          <w:szCs w:val="24"/>
        </w:rPr>
        <w:t>report</w:t>
      </w:r>
      <w:r w:rsidRPr="006B1DE1">
        <w:t xml:space="preserve"> deals with Revenue and Capital monitoring which is </w:t>
      </w:r>
      <w:proofErr w:type="gramStart"/>
      <w:r w:rsidRPr="006B1DE1">
        <w:t>key</w:t>
      </w:r>
      <w:proofErr w:type="gramEnd"/>
      <w:r w:rsidRPr="006B1DE1">
        <w:t xml:space="preserve"> to delivering the infrastructure to deliver the Council’s priorities.</w:t>
      </w:r>
    </w:p>
    <w:p w14:paraId="766DB4CD" w14:textId="77777777" w:rsidR="00741AEB" w:rsidRDefault="00741AEB" w:rsidP="00741AEB"/>
    <w:p w14:paraId="576B066E" w14:textId="77777777" w:rsidR="004C6220" w:rsidRDefault="004C6220" w:rsidP="00741AEB"/>
    <w:p w14:paraId="09F7AA51" w14:textId="77777777" w:rsidR="00741AEB" w:rsidRPr="006B1DE1" w:rsidRDefault="00741AEB" w:rsidP="00741AEB">
      <w:pPr>
        <w:pStyle w:val="Heading1"/>
        <w:keepNext/>
      </w:pPr>
      <w:r w:rsidRPr="006B1DE1">
        <w:t>Section 3 - Statutory Officer Clearance</w:t>
      </w:r>
    </w:p>
    <w:p w14:paraId="7D4DA590" w14:textId="77777777" w:rsidR="00741AEB" w:rsidRPr="006B1DE1" w:rsidRDefault="00741AEB" w:rsidP="00741AEB">
      <w:pPr>
        <w:keepNext/>
        <w:rPr>
          <w:rFonts w:cs="Arial"/>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1"/>
        <w:gridCol w:w="405"/>
        <w:gridCol w:w="222"/>
        <w:gridCol w:w="3796"/>
      </w:tblGrid>
      <w:tr w:rsidR="00741AEB" w:rsidRPr="006B1DE1" w14:paraId="3C143FB1" w14:textId="77777777" w:rsidTr="003B20DC">
        <w:trPr>
          <w:trHeight w:val="576"/>
        </w:trPr>
        <w:tc>
          <w:tcPr>
            <w:tcW w:w="2321" w:type="pct"/>
            <w:tcBorders>
              <w:bottom w:val="nil"/>
              <w:right w:val="nil"/>
            </w:tcBorders>
          </w:tcPr>
          <w:p w14:paraId="673248E0" w14:textId="77777777" w:rsidR="00741AEB" w:rsidRPr="006B1DE1" w:rsidRDefault="00741AEB" w:rsidP="00741AEB">
            <w:pPr>
              <w:pStyle w:val="Infotext"/>
            </w:pPr>
          </w:p>
        </w:tc>
        <w:tc>
          <w:tcPr>
            <w:tcW w:w="246" w:type="pct"/>
            <w:tcBorders>
              <w:left w:val="nil"/>
              <w:right w:val="nil"/>
            </w:tcBorders>
          </w:tcPr>
          <w:p w14:paraId="0F22B0AA" w14:textId="77777777" w:rsidR="00741AEB" w:rsidRPr="006B1DE1" w:rsidRDefault="00741AEB" w:rsidP="00741AEB">
            <w:pPr>
              <w:pStyle w:val="Infotext"/>
            </w:pPr>
          </w:p>
        </w:tc>
        <w:tc>
          <w:tcPr>
            <w:tcW w:w="133" w:type="pct"/>
            <w:tcBorders>
              <w:left w:val="nil"/>
              <w:bottom w:val="nil"/>
              <w:right w:val="nil"/>
            </w:tcBorders>
          </w:tcPr>
          <w:p w14:paraId="40E023D4" w14:textId="77777777" w:rsidR="00741AEB" w:rsidRPr="006B1DE1" w:rsidRDefault="00741AEB" w:rsidP="00741AEB">
            <w:pPr>
              <w:pStyle w:val="Infotext"/>
            </w:pPr>
          </w:p>
        </w:tc>
        <w:tc>
          <w:tcPr>
            <w:tcW w:w="2300" w:type="pct"/>
            <w:tcBorders>
              <w:left w:val="nil"/>
              <w:bottom w:val="nil"/>
            </w:tcBorders>
          </w:tcPr>
          <w:p w14:paraId="71CB4D16" w14:textId="77777777" w:rsidR="00741AEB" w:rsidRPr="006B1DE1" w:rsidRDefault="00741AEB" w:rsidP="00741AEB">
            <w:pPr>
              <w:pStyle w:val="Infotext"/>
            </w:pPr>
          </w:p>
          <w:p w14:paraId="1F59335D" w14:textId="77777777" w:rsidR="00741AEB" w:rsidRPr="006B1DE1" w:rsidRDefault="00741AEB" w:rsidP="00741AEB">
            <w:pPr>
              <w:pStyle w:val="Infotext"/>
            </w:pPr>
          </w:p>
        </w:tc>
      </w:tr>
      <w:tr w:rsidR="00741AEB" w:rsidRPr="006B1DE1" w14:paraId="5822521C" w14:textId="77777777" w:rsidTr="003B20DC">
        <w:trPr>
          <w:trHeight w:val="293"/>
        </w:trPr>
        <w:tc>
          <w:tcPr>
            <w:tcW w:w="2321" w:type="pct"/>
            <w:tcBorders>
              <w:top w:val="nil"/>
              <w:bottom w:val="nil"/>
            </w:tcBorders>
          </w:tcPr>
          <w:p w14:paraId="6FDC3906" w14:textId="77777777" w:rsidR="00741AEB" w:rsidRPr="006B1DE1" w:rsidRDefault="00741AEB" w:rsidP="00741AEB">
            <w:pPr>
              <w:pStyle w:val="Infotext"/>
            </w:pPr>
            <w:r w:rsidRPr="006B1DE1">
              <w:t>Name: Dawn Calvert</w:t>
            </w:r>
          </w:p>
        </w:tc>
        <w:tc>
          <w:tcPr>
            <w:tcW w:w="246" w:type="pct"/>
            <w:tcBorders>
              <w:bottom w:val="single" w:sz="4" w:space="0" w:color="auto"/>
            </w:tcBorders>
          </w:tcPr>
          <w:p w14:paraId="6E847F35" w14:textId="4D4592EF" w:rsidR="00741AEB" w:rsidRPr="006B1DE1" w:rsidRDefault="003E3991" w:rsidP="00741AEB">
            <w:pPr>
              <w:pStyle w:val="Infotext"/>
            </w:pPr>
            <w:r>
              <w:t>X</w:t>
            </w:r>
          </w:p>
        </w:tc>
        <w:tc>
          <w:tcPr>
            <w:tcW w:w="133" w:type="pct"/>
            <w:tcBorders>
              <w:top w:val="nil"/>
              <w:bottom w:val="nil"/>
              <w:right w:val="nil"/>
            </w:tcBorders>
          </w:tcPr>
          <w:p w14:paraId="6C1100F9" w14:textId="77777777" w:rsidR="00741AEB" w:rsidRPr="006B1DE1" w:rsidRDefault="00741AEB" w:rsidP="00741AEB">
            <w:pPr>
              <w:pStyle w:val="Infotext"/>
            </w:pPr>
          </w:p>
        </w:tc>
        <w:tc>
          <w:tcPr>
            <w:tcW w:w="2300" w:type="pct"/>
            <w:tcBorders>
              <w:top w:val="nil"/>
              <w:left w:val="nil"/>
              <w:bottom w:val="nil"/>
            </w:tcBorders>
          </w:tcPr>
          <w:p w14:paraId="635F3FE0" w14:textId="77777777" w:rsidR="00741AEB" w:rsidRPr="006B1DE1" w:rsidRDefault="00741AEB" w:rsidP="00741AEB">
            <w:pPr>
              <w:pStyle w:val="Infotext"/>
            </w:pPr>
            <w:r w:rsidRPr="006B1DE1">
              <w:t>Chief Financial Officer</w:t>
            </w:r>
          </w:p>
        </w:tc>
      </w:tr>
      <w:tr w:rsidR="00741AEB" w:rsidRPr="006B1DE1" w14:paraId="1D8363A7" w14:textId="77777777" w:rsidTr="003B20DC">
        <w:trPr>
          <w:trHeight w:val="576"/>
        </w:trPr>
        <w:tc>
          <w:tcPr>
            <w:tcW w:w="2321" w:type="pct"/>
            <w:tcBorders>
              <w:top w:val="nil"/>
              <w:right w:val="nil"/>
            </w:tcBorders>
          </w:tcPr>
          <w:p w14:paraId="37B4DEEE" w14:textId="77777777" w:rsidR="00741AEB" w:rsidRPr="006B1DE1" w:rsidRDefault="00741AEB" w:rsidP="00741AEB">
            <w:pPr>
              <w:pStyle w:val="Infotext"/>
            </w:pPr>
            <w:r w:rsidRPr="006B1DE1">
              <w:t xml:space="preserve"> </w:t>
            </w:r>
          </w:p>
          <w:p w14:paraId="30D91360" w14:textId="2AC49794" w:rsidR="00741AEB" w:rsidRPr="006B1DE1" w:rsidRDefault="00741AEB">
            <w:pPr>
              <w:pStyle w:val="Infotext"/>
            </w:pPr>
            <w:r w:rsidRPr="006B1DE1">
              <w:t xml:space="preserve">Date: </w:t>
            </w:r>
            <w:r w:rsidR="00530E7B">
              <w:t xml:space="preserve"> </w:t>
            </w:r>
            <w:r w:rsidR="003E3991">
              <w:t>27</w:t>
            </w:r>
            <w:r w:rsidR="003E3991" w:rsidRPr="00BD2AC5">
              <w:rPr>
                <w:vertAlign w:val="superscript"/>
              </w:rPr>
              <w:t>th</w:t>
            </w:r>
            <w:r w:rsidR="003E3991">
              <w:t xml:space="preserve"> November 2017</w:t>
            </w:r>
          </w:p>
        </w:tc>
        <w:tc>
          <w:tcPr>
            <w:tcW w:w="246" w:type="pct"/>
            <w:tcBorders>
              <w:left w:val="nil"/>
              <w:bottom w:val="single" w:sz="4" w:space="0" w:color="auto"/>
              <w:right w:val="nil"/>
            </w:tcBorders>
          </w:tcPr>
          <w:p w14:paraId="12C90539" w14:textId="77777777" w:rsidR="00741AEB" w:rsidRPr="006B1DE1" w:rsidRDefault="00741AEB" w:rsidP="00741AEB">
            <w:pPr>
              <w:pStyle w:val="Infotext"/>
            </w:pPr>
          </w:p>
        </w:tc>
        <w:tc>
          <w:tcPr>
            <w:tcW w:w="133" w:type="pct"/>
            <w:tcBorders>
              <w:top w:val="nil"/>
              <w:left w:val="nil"/>
              <w:right w:val="nil"/>
            </w:tcBorders>
          </w:tcPr>
          <w:p w14:paraId="44DA09CA" w14:textId="77777777" w:rsidR="00741AEB" w:rsidRPr="006B1DE1" w:rsidRDefault="00741AEB" w:rsidP="00741AEB">
            <w:pPr>
              <w:pStyle w:val="Infotext"/>
            </w:pPr>
          </w:p>
        </w:tc>
        <w:tc>
          <w:tcPr>
            <w:tcW w:w="2300" w:type="pct"/>
            <w:tcBorders>
              <w:top w:val="nil"/>
              <w:left w:val="nil"/>
            </w:tcBorders>
          </w:tcPr>
          <w:p w14:paraId="7BB6590E" w14:textId="77777777" w:rsidR="00741AEB" w:rsidRPr="006B1DE1" w:rsidRDefault="00741AEB" w:rsidP="00741AEB">
            <w:pPr>
              <w:pStyle w:val="Infotext"/>
            </w:pPr>
          </w:p>
        </w:tc>
      </w:tr>
      <w:tr w:rsidR="00741AEB" w:rsidRPr="006B1DE1" w14:paraId="2C23E48D" w14:textId="77777777" w:rsidTr="003B20DC">
        <w:trPr>
          <w:trHeight w:val="585"/>
        </w:trPr>
        <w:tc>
          <w:tcPr>
            <w:tcW w:w="2321" w:type="pct"/>
            <w:tcBorders>
              <w:bottom w:val="nil"/>
              <w:right w:val="nil"/>
            </w:tcBorders>
          </w:tcPr>
          <w:p w14:paraId="1A9CEA60" w14:textId="77777777" w:rsidR="00741AEB" w:rsidRPr="006B1DE1" w:rsidRDefault="00741AEB" w:rsidP="00741AEB">
            <w:pPr>
              <w:pStyle w:val="Infotext"/>
            </w:pPr>
          </w:p>
        </w:tc>
        <w:tc>
          <w:tcPr>
            <w:tcW w:w="246" w:type="pct"/>
            <w:tcBorders>
              <w:left w:val="nil"/>
              <w:right w:val="nil"/>
            </w:tcBorders>
          </w:tcPr>
          <w:p w14:paraId="10D82026" w14:textId="77777777" w:rsidR="00741AEB" w:rsidRPr="006B1DE1" w:rsidRDefault="00741AEB" w:rsidP="00741AEB">
            <w:pPr>
              <w:pStyle w:val="Infotext"/>
            </w:pPr>
          </w:p>
        </w:tc>
        <w:tc>
          <w:tcPr>
            <w:tcW w:w="133" w:type="pct"/>
            <w:tcBorders>
              <w:left w:val="nil"/>
              <w:bottom w:val="nil"/>
              <w:right w:val="nil"/>
            </w:tcBorders>
          </w:tcPr>
          <w:p w14:paraId="4E55F8EB" w14:textId="77777777" w:rsidR="00741AEB" w:rsidRPr="006B1DE1" w:rsidRDefault="00741AEB" w:rsidP="00741AEB">
            <w:pPr>
              <w:pStyle w:val="Infotext"/>
            </w:pPr>
          </w:p>
        </w:tc>
        <w:tc>
          <w:tcPr>
            <w:tcW w:w="2300" w:type="pct"/>
            <w:tcBorders>
              <w:left w:val="nil"/>
              <w:bottom w:val="nil"/>
            </w:tcBorders>
          </w:tcPr>
          <w:p w14:paraId="533B222A" w14:textId="77777777" w:rsidR="00741AEB" w:rsidRPr="006B1DE1" w:rsidRDefault="00741AEB" w:rsidP="00741AEB">
            <w:pPr>
              <w:pStyle w:val="Infotext"/>
            </w:pPr>
          </w:p>
          <w:p w14:paraId="1E9A9A73" w14:textId="77777777" w:rsidR="00741AEB" w:rsidRPr="006B1DE1" w:rsidRDefault="00741AEB" w:rsidP="00741AEB">
            <w:pPr>
              <w:pStyle w:val="Infotext"/>
            </w:pPr>
            <w:r w:rsidRPr="006B1DE1">
              <w:t>on behalf of the</w:t>
            </w:r>
          </w:p>
        </w:tc>
      </w:tr>
      <w:tr w:rsidR="00741AEB" w:rsidRPr="006B1DE1" w14:paraId="0F0723F5" w14:textId="77777777" w:rsidTr="003B20DC">
        <w:trPr>
          <w:trHeight w:val="293"/>
        </w:trPr>
        <w:tc>
          <w:tcPr>
            <w:tcW w:w="2321" w:type="pct"/>
            <w:tcBorders>
              <w:top w:val="nil"/>
              <w:bottom w:val="nil"/>
            </w:tcBorders>
          </w:tcPr>
          <w:p w14:paraId="7803C697" w14:textId="7F744CFD" w:rsidR="00741AEB" w:rsidRPr="006B1DE1" w:rsidRDefault="00741AEB">
            <w:pPr>
              <w:pStyle w:val="Infotext"/>
            </w:pPr>
            <w:r w:rsidRPr="006B1DE1">
              <w:t xml:space="preserve">Name: </w:t>
            </w:r>
            <w:r w:rsidR="006F4358">
              <w:t>Jessica Farmer</w:t>
            </w:r>
          </w:p>
        </w:tc>
        <w:tc>
          <w:tcPr>
            <w:tcW w:w="246" w:type="pct"/>
            <w:tcBorders>
              <w:bottom w:val="single" w:sz="4" w:space="0" w:color="auto"/>
            </w:tcBorders>
          </w:tcPr>
          <w:p w14:paraId="43E69919" w14:textId="2BBA7841" w:rsidR="00741AEB" w:rsidRPr="006B1DE1" w:rsidRDefault="006F4358" w:rsidP="00741AEB">
            <w:pPr>
              <w:pStyle w:val="Infotext"/>
            </w:pPr>
            <w:r>
              <w:t>X</w:t>
            </w:r>
          </w:p>
        </w:tc>
        <w:tc>
          <w:tcPr>
            <w:tcW w:w="133" w:type="pct"/>
            <w:tcBorders>
              <w:top w:val="nil"/>
              <w:bottom w:val="nil"/>
              <w:right w:val="nil"/>
            </w:tcBorders>
          </w:tcPr>
          <w:p w14:paraId="008C32DF" w14:textId="77777777" w:rsidR="00741AEB" w:rsidRPr="006B1DE1" w:rsidRDefault="00741AEB" w:rsidP="00741AEB">
            <w:pPr>
              <w:pStyle w:val="Infotext"/>
            </w:pPr>
          </w:p>
        </w:tc>
        <w:tc>
          <w:tcPr>
            <w:tcW w:w="2300" w:type="pct"/>
            <w:tcBorders>
              <w:top w:val="nil"/>
              <w:left w:val="nil"/>
              <w:bottom w:val="nil"/>
            </w:tcBorders>
          </w:tcPr>
          <w:p w14:paraId="1D883FE0" w14:textId="77777777" w:rsidR="00741AEB" w:rsidRPr="006B1DE1" w:rsidRDefault="00741AEB" w:rsidP="00741AEB">
            <w:pPr>
              <w:pStyle w:val="Infotext"/>
            </w:pPr>
            <w:r w:rsidRPr="006B1DE1">
              <w:t>Monitoring Officer</w:t>
            </w:r>
          </w:p>
        </w:tc>
      </w:tr>
      <w:tr w:rsidR="00741AEB" w:rsidRPr="006B1DE1" w14:paraId="66B81294" w14:textId="77777777" w:rsidTr="003B20DC">
        <w:trPr>
          <w:trHeight w:val="585"/>
        </w:trPr>
        <w:tc>
          <w:tcPr>
            <w:tcW w:w="2321" w:type="pct"/>
            <w:tcBorders>
              <w:top w:val="nil"/>
              <w:right w:val="nil"/>
            </w:tcBorders>
          </w:tcPr>
          <w:p w14:paraId="1FFB3A19" w14:textId="77777777" w:rsidR="00741AEB" w:rsidRPr="006B1DE1" w:rsidRDefault="00741AEB" w:rsidP="00741AEB">
            <w:pPr>
              <w:pStyle w:val="Infotext"/>
            </w:pPr>
          </w:p>
          <w:p w14:paraId="03F082E0" w14:textId="500BBCDF" w:rsidR="00741AEB" w:rsidRPr="006B1DE1" w:rsidRDefault="00741AEB">
            <w:pPr>
              <w:pStyle w:val="Infotext"/>
            </w:pPr>
            <w:r w:rsidRPr="006B1DE1">
              <w:t>Date</w:t>
            </w:r>
            <w:r w:rsidR="003B4D84">
              <w:t>:</w:t>
            </w:r>
            <w:r w:rsidR="006F4358">
              <w:t xml:space="preserve">  27</w:t>
            </w:r>
            <w:r w:rsidR="006F4358" w:rsidRPr="006F4358">
              <w:rPr>
                <w:vertAlign w:val="superscript"/>
              </w:rPr>
              <w:t>th</w:t>
            </w:r>
            <w:r w:rsidR="006F4358">
              <w:t xml:space="preserve"> November 2014</w:t>
            </w:r>
          </w:p>
        </w:tc>
        <w:tc>
          <w:tcPr>
            <w:tcW w:w="246" w:type="pct"/>
            <w:tcBorders>
              <w:left w:val="nil"/>
              <w:right w:val="nil"/>
            </w:tcBorders>
          </w:tcPr>
          <w:p w14:paraId="3CD98688" w14:textId="77777777" w:rsidR="00741AEB" w:rsidRPr="006B1DE1" w:rsidRDefault="00741AEB" w:rsidP="00741AEB">
            <w:pPr>
              <w:pStyle w:val="Infotext"/>
            </w:pPr>
          </w:p>
        </w:tc>
        <w:tc>
          <w:tcPr>
            <w:tcW w:w="133" w:type="pct"/>
            <w:tcBorders>
              <w:top w:val="nil"/>
              <w:left w:val="nil"/>
              <w:right w:val="nil"/>
            </w:tcBorders>
          </w:tcPr>
          <w:p w14:paraId="000AE59E" w14:textId="77777777" w:rsidR="00741AEB" w:rsidRPr="006B1DE1" w:rsidRDefault="00741AEB" w:rsidP="00741AEB">
            <w:pPr>
              <w:pStyle w:val="Infotext"/>
            </w:pPr>
          </w:p>
        </w:tc>
        <w:tc>
          <w:tcPr>
            <w:tcW w:w="2300" w:type="pct"/>
            <w:tcBorders>
              <w:top w:val="nil"/>
              <w:left w:val="nil"/>
            </w:tcBorders>
          </w:tcPr>
          <w:p w14:paraId="3D177DDE" w14:textId="77777777" w:rsidR="00741AEB" w:rsidRPr="006B1DE1" w:rsidRDefault="00741AEB" w:rsidP="00741AEB">
            <w:pPr>
              <w:pStyle w:val="Infotext"/>
            </w:pPr>
          </w:p>
          <w:p w14:paraId="49449294" w14:textId="77777777" w:rsidR="00741AEB" w:rsidRPr="006B1DE1" w:rsidRDefault="00741AEB" w:rsidP="00741AEB">
            <w:pPr>
              <w:pStyle w:val="Infotext"/>
            </w:pPr>
          </w:p>
        </w:tc>
      </w:tr>
    </w:tbl>
    <w:p w14:paraId="3EAD974D" w14:textId="77777777" w:rsidR="00741AEB" w:rsidRPr="006B1DE1" w:rsidRDefault="00741AEB" w:rsidP="00741AE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5"/>
        <w:gridCol w:w="3333"/>
      </w:tblGrid>
      <w:tr w:rsidR="00741AEB" w:rsidRPr="006B1DE1" w14:paraId="6B85578A" w14:textId="77777777" w:rsidTr="00741AEB">
        <w:trPr>
          <w:trHeight w:val="965"/>
        </w:trPr>
        <w:tc>
          <w:tcPr>
            <w:tcW w:w="3025" w:type="pct"/>
            <w:tcBorders>
              <w:right w:val="nil"/>
            </w:tcBorders>
          </w:tcPr>
          <w:p w14:paraId="24922F27" w14:textId="77777777" w:rsidR="00741AEB" w:rsidRPr="006B1DE1" w:rsidRDefault="00741AEB" w:rsidP="00741AEB">
            <w:pPr>
              <w:pStyle w:val="Infotext"/>
              <w:rPr>
                <w:rFonts w:ascii="Arial Black" w:hAnsi="Arial Black"/>
              </w:rPr>
            </w:pPr>
          </w:p>
          <w:p w14:paraId="1727BE44" w14:textId="77777777" w:rsidR="00741AEB" w:rsidRPr="006B1DE1" w:rsidRDefault="00741AEB" w:rsidP="00741AEB">
            <w:pPr>
              <w:pStyle w:val="Infotext"/>
              <w:rPr>
                <w:rFonts w:ascii="Arial Black" w:hAnsi="Arial Black"/>
              </w:rPr>
            </w:pPr>
            <w:r w:rsidRPr="006B1DE1">
              <w:rPr>
                <w:rFonts w:ascii="Arial Black" w:hAnsi="Arial Black"/>
              </w:rPr>
              <w:t>Ward Councillors notified:</w:t>
            </w:r>
          </w:p>
          <w:p w14:paraId="6ABAFB09" w14:textId="77777777" w:rsidR="00741AEB" w:rsidRPr="006B1DE1" w:rsidRDefault="00741AEB" w:rsidP="00741AEB">
            <w:pPr>
              <w:pStyle w:val="Infotext"/>
              <w:rPr>
                <w:color w:val="FF0000"/>
              </w:rPr>
            </w:pPr>
          </w:p>
        </w:tc>
        <w:tc>
          <w:tcPr>
            <w:tcW w:w="1975" w:type="pct"/>
            <w:tcBorders>
              <w:left w:val="nil"/>
            </w:tcBorders>
          </w:tcPr>
          <w:p w14:paraId="223D7B49" w14:textId="77777777" w:rsidR="00741AEB" w:rsidRPr="006B1DE1" w:rsidRDefault="00741AEB" w:rsidP="00741AEB">
            <w:pPr>
              <w:pStyle w:val="Infotext"/>
            </w:pPr>
          </w:p>
          <w:p w14:paraId="77434A46" w14:textId="57748410" w:rsidR="00741AEB" w:rsidRPr="006B1DE1" w:rsidRDefault="00741AEB" w:rsidP="003B20DC">
            <w:pPr>
              <w:pStyle w:val="Infotext"/>
              <w:spacing w:before="120"/>
              <w:rPr>
                <w:i/>
                <w:sz w:val="24"/>
                <w:szCs w:val="24"/>
              </w:rPr>
            </w:pPr>
            <w:r w:rsidRPr="006B1DE1">
              <w:rPr>
                <w:b/>
              </w:rPr>
              <w:t>NO, as it impacts on all Wards</w:t>
            </w:r>
            <w:r w:rsidRPr="006B1DE1">
              <w:rPr>
                <w:i/>
                <w:sz w:val="24"/>
                <w:szCs w:val="24"/>
              </w:rPr>
              <w:t xml:space="preserve">. </w:t>
            </w:r>
          </w:p>
        </w:tc>
      </w:tr>
      <w:tr w:rsidR="00741AEB" w:rsidRPr="006B1DE1" w14:paraId="5A7748C7" w14:textId="77777777" w:rsidTr="00741AEB">
        <w:trPr>
          <w:trHeight w:val="965"/>
        </w:trPr>
        <w:tc>
          <w:tcPr>
            <w:tcW w:w="3025" w:type="pct"/>
            <w:tcBorders>
              <w:right w:val="nil"/>
            </w:tcBorders>
          </w:tcPr>
          <w:p w14:paraId="757C2990" w14:textId="77777777" w:rsidR="00741AEB" w:rsidRPr="006B1DE1" w:rsidRDefault="00741AEB" w:rsidP="00741AEB">
            <w:pPr>
              <w:pStyle w:val="Infotext"/>
              <w:rPr>
                <w:rFonts w:ascii="Arial Black" w:hAnsi="Arial Black"/>
                <w:color w:val="FF0000"/>
              </w:rPr>
            </w:pPr>
          </w:p>
          <w:p w14:paraId="375370D3" w14:textId="77777777" w:rsidR="00741AEB" w:rsidRPr="006B1DE1" w:rsidRDefault="00741AEB" w:rsidP="00741AEB">
            <w:pPr>
              <w:pStyle w:val="Infotext"/>
              <w:rPr>
                <w:rFonts w:ascii="Arial Black" w:hAnsi="Arial Black"/>
              </w:rPr>
            </w:pPr>
            <w:proofErr w:type="spellStart"/>
            <w:r w:rsidRPr="006B1DE1">
              <w:rPr>
                <w:rFonts w:ascii="Arial Black" w:hAnsi="Arial Black"/>
              </w:rPr>
              <w:t>EqIA</w:t>
            </w:r>
            <w:proofErr w:type="spellEnd"/>
            <w:r w:rsidRPr="006B1DE1">
              <w:rPr>
                <w:rFonts w:ascii="Arial Black" w:hAnsi="Arial Black"/>
              </w:rPr>
              <w:t xml:space="preserve"> carried out:</w:t>
            </w:r>
          </w:p>
          <w:p w14:paraId="2CAC4E12" w14:textId="77777777" w:rsidR="00741AEB" w:rsidRPr="006B1DE1" w:rsidRDefault="00741AEB" w:rsidP="00741AEB">
            <w:pPr>
              <w:pStyle w:val="Infotext"/>
              <w:rPr>
                <w:rFonts w:ascii="Arial Black" w:hAnsi="Arial Black"/>
                <w:color w:val="FF0000"/>
              </w:rPr>
            </w:pPr>
            <w:proofErr w:type="spellStart"/>
            <w:r w:rsidRPr="006B1DE1">
              <w:rPr>
                <w:rFonts w:ascii="Arial Black" w:hAnsi="Arial Black"/>
              </w:rPr>
              <w:t>EqIA</w:t>
            </w:r>
            <w:proofErr w:type="spellEnd"/>
            <w:r w:rsidRPr="006B1DE1">
              <w:rPr>
                <w:rFonts w:ascii="Arial Black" w:hAnsi="Arial Black"/>
              </w:rPr>
              <w:t xml:space="preserve"> cleared by:</w:t>
            </w:r>
          </w:p>
        </w:tc>
        <w:tc>
          <w:tcPr>
            <w:tcW w:w="1975" w:type="pct"/>
            <w:tcBorders>
              <w:left w:val="nil"/>
            </w:tcBorders>
          </w:tcPr>
          <w:p w14:paraId="693BCD8C" w14:textId="77777777" w:rsidR="00741AEB" w:rsidRPr="006B1DE1" w:rsidRDefault="00741AEB" w:rsidP="00741AEB">
            <w:pPr>
              <w:pStyle w:val="Infotext"/>
              <w:rPr>
                <w:b/>
                <w:color w:val="FF0000"/>
              </w:rPr>
            </w:pPr>
          </w:p>
          <w:p w14:paraId="3A485720" w14:textId="20D574D7" w:rsidR="00741AEB" w:rsidRPr="006B1DE1" w:rsidRDefault="00741AEB" w:rsidP="00741AEB">
            <w:pPr>
              <w:pStyle w:val="Infotext"/>
              <w:rPr>
                <w:b/>
                <w:color w:val="FF0000"/>
              </w:rPr>
            </w:pPr>
            <w:r w:rsidRPr="006B1DE1">
              <w:rPr>
                <w:b/>
              </w:rPr>
              <w:t>NO</w:t>
            </w:r>
          </w:p>
          <w:p w14:paraId="37F00F6F" w14:textId="77777777" w:rsidR="003B20DC" w:rsidRDefault="003B20DC" w:rsidP="00741AEB">
            <w:pPr>
              <w:pStyle w:val="Infotext"/>
            </w:pPr>
          </w:p>
          <w:p w14:paraId="04434650" w14:textId="16B6FC9D" w:rsidR="00741AEB" w:rsidRPr="006B1DE1" w:rsidRDefault="00EB7D9E" w:rsidP="00741AEB">
            <w:pPr>
              <w:pStyle w:val="Infotext"/>
            </w:pPr>
            <w:r>
              <w:t>Not applicable</w:t>
            </w:r>
          </w:p>
          <w:p w14:paraId="23ED1CD1" w14:textId="77777777" w:rsidR="00741AEB" w:rsidRPr="006B1DE1" w:rsidRDefault="00741AEB" w:rsidP="00741AEB">
            <w:pPr>
              <w:pStyle w:val="Infotext"/>
              <w:rPr>
                <w:color w:val="FF0000"/>
              </w:rPr>
            </w:pPr>
          </w:p>
        </w:tc>
      </w:tr>
    </w:tbl>
    <w:p w14:paraId="2D2FE5BE" w14:textId="77777777" w:rsidR="00741AEB" w:rsidRPr="006B1DE1" w:rsidRDefault="00741AEB" w:rsidP="00741AEB"/>
    <w:p w14:paraId="4A0069E0" w14:textId="77777777" w:rsidR="00741AEB" w:rsidRPr="006B1DE1" w:rsidRDefault="00741AEB" w:rsidP="00741AEB">
      <w:pPr>
        <w:pStyle w:val="Heading1"/>
        <w:keepNext/>
      </w:pPr>
      <w:r w:rsidRPr="006B1DE1">
        <w:t xml:space="preserve">Section </w:t>
      </w:r>
      <w:r w:rsidR="008B25B2">
        <w:t>4</w:t>
      </w:r>
      <w:r w:rsidRPr="006B1DE1">
        <w:t xml:space="preserve"> - Contact Details and Background Papers</w:t>
      </w:r>
    </w:p>
    <w:p w14:paraId="1D9FE02C" w14:textId="77777777" w:rsidR="00741AEB" w:rsidRPr="006B1DE1" w:rsidRDefault="00741AEB" w:rsidP="00741AEB">
      <w:pPr>
        <w:keepNext/>
        <w:rPr>
          <w:rFonts w:cs="Arial"/>
        </w:rPr>
      </w:pPr>
    </w:p>
    <w:p w14:paraId="1967BB7F" w14:textId="0E1F5A6F" w:rsidR="008B25B2" w:rsidRPr="008B25B2" w:rsidRDefault="00741AEB" w:rsidP="008B25B2">
      <w:pPr>
        <w:pStyle w:val="Infotext"/>
        <w:rPr>
          <w:b/>
        </w:rPr>
      </w:pPr>
      <w:r w:rsidRPr="006B1DE1">
        <w:rPr>
          <w:b/>
        </w:rPr>
        <w:t xml:space="preserve">Contact:  </w:t>
      </w:r>
      <w:r w:rsidR="008B25B2">
        <w:t>Sharon Daniels</w:t>
      </w:r>
      <w:r w:rsidR="008B25B2" w:rsidRPr="009E22B0">
        <w:t xml:space="preserve"> (</w:t>
      </w:r>
      <w:hyperlink r:id="rId23" w:history="1">
        <w:r w:rsidR="008442CB" w:rsidRPr="00D70CEE">
          <w:rPr>
            <w:rStyle w:val="Hyperlink"/>
          </w:rPr>
          <w:t>sharon.daniels@harrow.gov.uk</w:t>
        </w:r>
      </w:hyperlink>
      <w:r w:rsidR="008B25B2" w:rsidRPr="009E22B0">
        <w:t xml:space="preserve">), </w:t>
      </w:r>
      <w:r w:rsidR="00337B3A">
        <w:t xml:space="preserve">Deputy </w:t>
      </w:r>
      <w:proofErr w:type="gramStart"/>
      <w:r w:rsidR="00337B3A">
        <w:t>sec151</w:t>
      </w:r>
      <w:proofErr w:type="gramEnd"/>
      <w:r w:rsidR="00337B3A">
        <w:t xml:space="preserve"> officer Tel: 020 8424 1332</w:t>
      </w:r>
      <w:r w:rsidR="008B25B2" w:rsidRPr="009E22B0">
        <w:t xml:space="preserve"> </w:t>
      </w:r>
    </w:p>
    <w:p w14:paraId="3BB6CF20" w14:textId="77777777" w:rsidR="0079338C" w:rsidRPr="006B1DE1" w:rsidRDefault="0079338C" w:rsidP="00741AEB"/>
    <w:p w14:paraId="464D05AB" w14:textId="061DFF68" w:rsidR="00BB750C" w:rsidRDefault="00741AEB" w:rsidP="008B25B2">
      <w:pPr>
        <w:pStyle w:val="Infotext"/>
        <w:rPr>
          <w:rStyle w:val="Hyperlink"/>
          <w:b/>
        </w:rPr>
      </w:pPr>
      <w:r w:rsidRPr="006B1DE1">
        <w:rPr>
          <w:b/>
        </w:rPr>
        <w:t>Background Papers</w:t>
      </w:r>
      <w:proofErr w:type="gramStart"/>
      <w:r w:rsidRPr="006B1DE1">
        <w:rPr>
          <w:b/>
        </w:rPr>
        <w:t>:</w:t>
      </w:r>
      <w:r w:rsidR="00BB750C">
        <w:rPr>
          <w:b/>
        </w:rPr>
        <w:t xml:space="preserve"> </w:t>
      </w:r>
      <w:hyperlink r:id="rId24" w:history="1">
        <w:r w:rsidR="00BB750C" w:rsidRPr="00BB750C">
          <w:rPr>
            <w:rStyle w:val="Hyperlink"/>
            <w:b/>
          </w:rPr>
          <w:t>..</w:t>
        </w:r>
        <w:proofErr w:type="gramEnd"/>
        <w:r w:rsidR="00BB750C" w:rsidRPr="00BB750C">
          <w:rPr>
            <w:rStyle w:val="Hyperlink"/>
            <w:b/>
          </w:rPr>
          <w:t>\..\..\..\BUDGET\Budget 2017-18\February Cabinet\Final report\Final Report Appendices for Daksha\V4 Final Budget Report 070217.doc</w:t>
        </w:r>
      </w:hyperlink>
    </w:p>
    <w:p w14:paraId="530AEAE0" w14:textId="3CB24700" w:rsidR="003F5E2F" w:rsidRDefault="007A6872" w:rsidP="008B25B2">
      <w:pPr>
        <w:pStyle w:val="Infotext"/>
        <w:rPr>
          <w:b/>
        </w:rPr>
      </w:pPr>
      <w:hyperlink r:id="rId25" w:history="1">
        <w:r w:rsidR="003F5E2F" w:rsidRPr="003F5E2F">
          <w:rPr>
            <w:rStyle w:val="Hyperlink"/>
            <w:b/>
          </w:rPr>
          <w:t>G:\1 Public\Capital programme\2017-18 to 2019-20\February Cabinet\Final February Cabinet\Final version Capital Programme Feb 2017 Cabinet.docx</w:t>
        </w:r>
      </w:hyperlink>
    </w:p>
    <w:p w14:paraId="5599F22A" w14:textId="7E93CFD1" w:rsidR="003F5E2F" w:rsidRDefault="007A6872" w:rsidP="008B25B2">
      <w:pPr>
        <w:pStyle w:val="Infotext"/>
        <w:rPr>
          <w:b/>
        </w:rPr>
      </w:pPr>
      <w:hyperlink r:id="rId26" w:history="1">
        <w:r w:rsidR="003F5E2F" w:rsidRPr="003F5E2F">
          <w:rPr>
            <w:rStyle w:val="Hyperlink"/>
            <w:b/>
          </w:rPr>
          <w:t xml:space="preserve">G:\1 Public\Capital programme\2017-18 to 2019-20\February Cabinet\Final February Cabinet\Appendix 1 - 16.17 Capital </w:t>
        </w:r>
        <w:proofErr w:type="gramStart"/>
        <w:r w:rsidR="003F5E2F" w:rsidRPr="003F5E2F">
          <w:rPr>
            <w:rStyle w:val="Hyperlink"/>
            <w:b/>
          </w:rPr>
          <w:t>Programme  restated</w:t>
        </w:r>
        <w:proofErr w:type="gramEnd"/>
        <w:r w:rsidR="003F5E2F" w:rsidRPr="003F5E2F">
          <w:rPr>
            <w:rStyle w:val="Hyperlink"/>
            <w:b/>
          </w:rPr>
          <w:t xml:space="preserve"> V4 18.01.17.xlsx</w:t>
        </w:r>
      </w:hyperlink>
    </w:p>
    <w:p w14:paraId="5827CCFF" w14:textId="42BF2B3C" w:rsidR="00741AEB" w:rsidRPr="006B1DE1" w:rsidRDefault="00741AEB" w:rsidP="008B25B2">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9"/>
        <w:gridCol w:w="542"/>
        <w:gridCol w:w="4167"/>
      </w:tblGrid>
      <w:tr w:rsidR="00741AEB" w:rsidRPr="006B1DE1" w14:paraId="5A9BCF13" w14:textId="77777777" w:rsidTr="00741AEB">
        <w:trPr>
          <w:trHeight w:val="965"/>
        </w:trPr>
        <w:tc>
          <w:tcPr>
            <w:tcW w:w="2210" w:type="pct"/>
            <w:tcBorders>
              <w:right w:val="nil"/>
            </w:tcBorders>
          </w:tcPr>
          <w:p w14:paraId="61EC27B1" w14:textId="77777777" w:rsidR="00741AEB" w:rsidRPr="006B1DE1" w:rsidRDefault="00741AEB" w:rsidP="00741AEB">
            <w:pPr>
              <w:pStyle w:val="Infotext"/>
            </w:pPr>
          </w:p>
          <w:p w14:paraId="3BBB9F85" w14:textId="77777777" w:rsidR="00741AEB" w:rsidRPr="006B1DE1" w:rsidRDefault="00741AEB">
            <w:pPr>
              <w:pStyle w:val="Infotext"/>
            </w:pPr>
            <w:r w:rsidRPr="006B1DE1">
              <w:rPr>
                <w:rFonts w:ascii="Arial Black" w:hAnsi="Arial Black"/>
              </w:rPr>
              <w:t>Call-In Waived by the Chairman of Overview and Scrutiny Committee</w:t>
            </w:r>
          </w:p>
        </w:tc>
        <w:tc>
          <w:tcPr>
            <w:tcW w:w="321" w:type="pct"/>
            <w:tcBorders>
              <w:left w:val="nil"/>
              <w:right w:val="nil"/>
            </w:tcBorders>
          </w:tcPr>
          <w:p w14:paraId="27E39293" w14:textId="77777777" w:rsidR="00741AEB" w:rsidRPr="006B1DE1" w:rsidRDefault="00741AEB" w:rsidP="00741AEB">
            <w:pPr>
              <w:pStyle w:val="Infotext"/>
            </w:pPr>
          </w:p>
        </w:tc>
        <w:tc>
          <w:tcPr>
            <w:tcW w:w="2469" w:type="pct"/>
            <w:tcBorders>
              <w:left w:val="nil"/>
            </w:tcBorders>
          </w:tcPr>
          <w:p w14:paraId="607AE266" w14:textId="77777777" w:rsidR="00741AEB" w:rsidRPr="006B1DE1" w:rsidRDefault="00741AEB" w:rsidP="00741AEB">
            <w:pPr>
              <w:pStyle w:val="Infotext"/>
            </w:pPr>
          </w:p>
          <w:p w14:paraId="654C4A74" w14:textId="77777777" w:rsidR="00741AEB" w:rsidRPr="006B1DE1" w:rsidRDefault="00741AEB" w:rsidP="00741AEB">
            <w:pPr>
              <w:pStyle w:val="Infotext"/>
            </w:pPr>
            <w:r w:rsidRPr="006B1DE1">
              <w:rPr>
                <w:b/>
              </w:rPr>
              <w:t>NOT APPLICABLE</w:t>
            </w:r>
          </w:p>
          <w:p w14:paraId="3AD13775" w14:textId="77777777" w:rsidR="00741AEB" w:rsidRPr="006B1DE1" w:rsidRDefault="00741AEB" w:rsidP="00741AEB">
            <w:pPr>
              <w:pStyle w:val="Infotext"/>
            </w:pPr>
          </w:p>
          <w:p w14:paraId="07494BE3" w14:textId="77777777" w:rsidR="00741AEB" w:rsidRPr="006B1DE1" w:rsidRDefault="00741AEB" w:rsidP="00741AEB">
            <w:pPr>
              <w:pStyle w:val="Infotext"/>
            </w:pPr>
            <w:r w:rsidRPr="006B1DE1">
              <w:t>[Call-in applies]</w:t>
            </w:r>
          </w:p>
          <w:p w14:paraId="21F108C7" w14:textId="77777777" w:rsidR="00741AEB" w:rsidRPr="006B1DE1" w:rsidRDefault="00741AEB" w:rsidP="00741AEB">
            <w:pPr>
              <w:pStyle w:val="Infotext"/>
            </w:pPr>
          </w:p>
          <w:p w14:paraId="36EA6E72" w14:textId="77777777" w:rsidR="00741AEB" w:rsidRPr="006B1DE1" w:rsidRDefault="00741AEB" w:rsidP="00741AEB">
            <w:pPr>
              <w:pStyle w:val="Infotext"/>
              <w:ind w:left="173"/>
              <w:rPr>
                <w:i/>
                <w:sz w:val="24"/>
                <w:szCs w:val="24"/>
              </w:rPr>
            </w:pPr>
          </w:p>
        </w:tc>
      </w:tr>
    </w:tbl>
    <w:p w14:paraId="55FBFB7D" w14:textId="77777777" w:rsidR="0021608E" w:rsidRDefault="0021608E" w:rsidP="00BB0A57">
      <w:pPr>
        <w:rPr>
          <w:b/>
          <w:szCs w:val="24"/>
        </w:rPr>
      </w:pPr>
    </w:p>
    <w:p w14:paraId="1E7C7F76" w14:textId="77777777" w:rsidR="0021608E" w:rsidRDefault="0021608E" w:rsidP="00BB0A57">
      <w:pPr>
        <w:rPr>
          <w:b/>
          <w:szCs w:val="24"/>
        </w:rPr>
      </w:pPr>
    </w:p>
    <w:p w14:paraId="2932954E" w14:textId="77777777" w:rsidR="0021608E" w:rsidRDefault="0021608E" w:rsidP="00BB0A57">
      <w:pPr>
        <w:rPr>
          <w:b/>
          <w:szCs w:val="24"/>
        </w:rPr>
      </w:pPr>
    </w:p>
    <w:p w14:paraId="61F1B692" w14:textId="77777777" w:rsidR="0021608E" w:rsidRDefault="0021608E" w:rsidP="00BB0A57">
      <w:pPr>
        <w:rPr>
          <w:b/>
          <w:szCs w:val="24"/>
        </w:rPr>
      </w:pPr>
    </w:p>
    <w:p w14:paraId="10F5DCA1" w14:textId="77777777" w:rsidR="0021608E" w:rsidRDefault="0021608E" w:rsidP="00BB0A57">
      <w:pPr>
        <w:rPr>
          <w:b/>
          <w:szCs w:val="24"/>
        </w:rPr>
      </w:pPr>
    </w:p>
    <w:p w14:paraId="431DBAF2" w14:textId="77777777" w:rsidR="0021608E" w:rsidRDefault="0021608E" w:rsidP="00BB0A57">
      <w:pPr>
        <w:rPr>
          <w:b/>
          <w:szCs w:val="24"/>
        </w:rPr>
      </w:pPr>
    </w:p>
    <w:p w14:paraId="5D13D306" w14:textId="77777777" w:rsidR="0021608E" w:rsidRDefault="0021608E" w:rsidP="00BB0A57">
      <w:pPr>
        <w:rPr>
          <w:b/>
          <w:szCs w:val="24"/>
        </w:rPr>
      </w:pPr>
    </w:p>
    <w:p w14:paraId="5C9363F2" w14:textId="77777777" w:rsidR="0021608E" w:rsidRDefault="0021608E" w:rsidP="00BB0A57">
      <w:pPr>
        <w:rPr>
          <w:b/>
          <w:szCs w:val="24"/>
        </w:rPr>
      </w:pPr>
    </w:p>
    <w:p w14:paraId="1D6E21CB" w14:textId="77777777" w:rsidR="0021608E" w:rsidRDefault="0021608E" w:rsidP="00BB0A57">
      <w:pPr>
        <w:rPr>
          <w:b/>
          <w:szCs w:val="24"/>
        </w:rPr>
      </w:pPr>
    </w:p>
    <w:p w14:paraId="5F34CE36" w14:textId="6EB474A3" w:rsidR="00A87D50" w:rsidRPr="006B1DE1" w:rsidRDefault="00500764" w:rsidP="00222641">
      <w:pPr>
        <w:rPr>
          <w:b/>
        </w:rPr>
      </w:pPr>
      <w:r w:rsidRPr="00CB1B58">
        <w:rPr>
          <w:b/>
          <w:sz w:val="20"/>
        </w:rPr>
        <w:t>Revenue Summary</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sidR="00C8529F">
        <w:rPr>
          <w:b/>
          <w:szCs w:val="24"/>
        </w:rPr>
        <w:t xml:space="preserve">                 </w:t>
      </w:r>
      <w:r w:rsidR="00B93242" w:rsidRPr="00CB1B58">
        <w:rPr>
          <w:b/>
          <w:sz w:val="20"/>
        </w:rPr>
        <w:t>Appendix 1</w:t>
      </w:r>
      <w:r w:rsidR="0021608E" w:rsidRPr="0021608E">
        <w:rPr>
          <w:noProof/>
          <w:lang w:eastAsia="en-GB"/>
        </w:rPr>
        <w:drawing>
          <wp:inline distT="0" distB="0" distL="0" distR="0" wp14:anchorId="39D169B6" wp14:editId="574F7C69">
            <wp:extent cx="5711781" cy="8860431"/>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0236" cy="8858034"/>
                    </a:xfrm>
                    <a:prstGeom prst="rect">
                      <a:avLst/>
                    </a:prstGeom>
                    <a:noFill/>
                    <a:ln>
                      <a:noFill/>
                    </a:ln>
                  </pic:spPr>
                </pic:pic>
              </a:graphicData>
            </a:graphic>
          </wp:inline>
        </w:drawing>
      </w:r>
      <w:r w:rsidR="002310F3">
        <w:rPr>
          <w:b/>
          <w:szCs w:val="24"/>
        </w:rPr>
        <w:tab/>
      </w:r>
      <w:r w:rsidR="002310F3">
        <w:rPr>
          <w:b/>
          <w:szCs w:val="24"/>
        </w:rPr>
        <w:tab/>
      </w:r>
      <w:r w:rsidR="002310F3">
        <w:rPr>
          <w:b/>
          <w:szCs w:val="24"/>
        </w:rPr>
        <w:tab/>
      </w:r>
      <w:r w:rsidR="002310F3">
        <w:rPr>
          <w:b/>
          <w:szCs w:val="24"/>
        </w:rPr>
        <w:tab/>
      </w:r>
    </w:p>
    <w:sectPr w:rsidR="00A87D50" w:rsidRPr="006B1DE1" w:rsidSect="00CB1B58">
      <w:headerReference w:type="even" r:id="rId28"/>
      <w:headerReference w:type="default" r:id="rId29"/>
      <w:footerReference w:type="even" r:id="rId30"/>
      <w:footerReference w:type="default" r:id="rId31"/>
      <w:headerReference w:type="first" r:id="rId32"/>
      <w:footerReference w:type="first" r:id="rId33"/>
      <w:pgSz w:w="11909" w:h="16834" w:code="9"/>
      <w:pgMar w:top="720" w:right="1986" w:bottom="1152" w:left="1701"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078AB" w14:textId="77777777" w:rsidR="00613368" w:rsidRDefault="00613368">
      <w:r>
        <w:separator/>
      </w:r>
    </w:p>
  </w:endnote>
  <w:endnote w:type="continuationSeparator" w:id="0">
    <w:p w14:paraId="36F70ECB" w14:textId="77777777" w:rsidR="00613368" w:rsidRDefault="0061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A712" w14:textId="77777777" w:rsidR="00613368" w:rsidRDefault="0061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58730"/>
      <w:docPartObj>
        <w:docPartGallery w:val="Page Numbers (Bottom of Page)"/>
        <w:docPartUnique/>
      </w:docPartObj>
    </w:sdtPr>
    <w:sdtEndPr>
      <w:rPr>
        <w:noProof/>
      </w:rPr>
    </w:sdtEndPr>
    <w:sdtContent>
      <w:p w14:paraId="00E5DD14" w14:textId="77777777" w:rsidR="00613368" w:rsidRDefault="00613368">
        <w:pPr>
          <w:pStyle w:val="Footer"/>
          <w:jc w:val="center"/>
        </w:pPr>
        <w:r>
          <w:fldChar w:fldCharType="begin"/>
        </w:r>
        <w:r>
          <w:instrText xml:space="preserve"> PAGE   \* MERGEFORMAT </w:instrText>
        </w:r>
        <w:r>
          <w:fldChar w:fldCharType="separate"/>
        </w:r>
        <w:r w:rsidR="007A6872">
          <w:rPr>
            <w:noProof/>
          </w:rPr>
          <w:t>2</w:t>
        </w:r>
        <w:r>
          <w:rPr>
            <w:noProof/>
          </w:rPr>
          <w:fldChar w:fldCharType="end"/>
        </w:r>
      </w:p>
    </w:sdtContent>
  </w:sdt>
  <w:p w14:paraId="0D5EFBE5" w14:textId="77777777" w:rsidR="00613368" w:rsidRDefault="006133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01FBE" w14:textId="77777777" w:rsidR="00613368" w:rsidRDefault="00613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A1ED" w14:textId="77777777" w:rsidR="00613368" w:rsidRDefault="00613368">
      <w:r>
        <w:separator/>
      </w:r>
    </w:p>
  </w:footnote>
  <w:footnote w:type="continuationSeparator" w:id="0">
    <w:p w14:paraId="6DF92CA2" w14:textId="77777777" w:rsidR="00613368" w:rsidRDefault="00613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DEA5" w14:textId="77777777" w:rsidR="00613368" w:rsidRDefault="00613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70E64" w14:textId="28CCA47D" w:rsidR="00613368" w:rsidRDefault="00613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D8FE7" w14:textId="7BF42CB2" w:rsidR="00613368" w:rsidRDefault="00613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21D"/>
    <w:multiLevelType w:val="multilevel"/>
    <w:tmpl w:val="780A9946"/>
    <w:lvl w:ilvl="0">
      <w:start w:val="2"/>
      <w:numFmt w:val="decimal"/>
      <w:lvlText w:val="%1"/>
      <w:lvlJc w:val="left"/>
      <w:pPr>
        <w:ind w:left="465" w:hanging="465"/>
      </w:pPr>
      <w:rPr>
        <w:rFonts w:hint="default"/>
        <w:b/>
      </w:rPr>
    </w:lvl>
    <w:lvl w:ilvl="1">
      <w:start w:val="29"/>
      <w:numFmt w:val="decimal"/>
      <w:lvlText w:val="%1.31"/>
      <w:lvlJc w:val="left"/>
      <w:pPr>
        <w:ind w:left="749" w:hanging="465"/>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
    <w:nsid w:val="01000389"/>
    <w:multiLevelType w:val="hybridMultilevel"/>
    <w:tmpl w:val="293EA218"/>
    <w:lvl w:ilvl="0" w:tplc="5CC6B41A">
      <w:start w:val="9"/>
      <w:numFmt w:val="decimal"/>
      <w:lvlText w:val="2.6%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E004A4"/>
    <w:multiLevelType w:val="hybridMultilevel"/>
    <w:tmpl w:val="48CE5584"/>
    <w:lvl w:ilvl="0" w:tplc="429008E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4BD024F"/>
    <w:multiLevelType w:val="multilevel"/>
    <w:tmpl w:val="1F822C1C"/>
    <w:lvl w:ilvl="0">
      <w:start w:val="1"/>
      <w:numFmt w:val="decimal"/>
      <w:lvlText w:val="%1"/>
      <w:lvlJc w:val="left"/>
      <w:pPr>
        <w:ind w:left="360" w:hanging="360"/>
      </w:pPr>
      <w:rPr>
        <w:rFonts w:hint="default"/>
      </w:rPr>
    </w:lvl>
    <w:lvl w:ilvl="1">
      <w:start w:val="1"/>
      <w:numFmt w:val="decimal"/>
      <w:lvlText w:val="%2.0"/>
      <w:lvlJc w:val="left"/>
      <w:pPr>
        <w:ind w:left="360" w:hanging="360"/>
      </w:pPr>
      <w:rPr>
        <w:rFonts w:hint="default"/>
      </w:rPr>
    </w:lvl>
    <w:lvl w:ilvl="2">
      <w:start w:val="1"/>
      <w:numFmt w:val="none"/>
      <w:lvlText w:val="1.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4DD4288"/>
    <w:multiLevelType w:val="multilevel"/>
    <w:tmpl w:val="0A083370"/>
    <w:lvl w:ilvl="0">
      <w:start w:val="1"/>
      <w:numFmt w:val="decimal"/>
      <w:lvlText w:val="%1.1"/>
      <w:lvlJc w:val="left"/>
      <w:pPr>
        <w:ind w:left="786" w:hanging="360"/>
      </w:pPr>
      <w:rPr>
        <w:rFonts w:hint="default"/>
      </w:rPr>
    </w:lvl>
    <w:lvl w:ilvl="1">
      <w:start w:val="1"/>
      <w:numFmt w:val="none"/>
      <w:lvlText w:val="2.1"/>
      <w:lvlJc w:val="left"/>
      <w:pPr>
        <w:ind w:left="360" w:hanging="360"/>
      </w:pPr>
      <w:rPr>
        <w:rFonts w:hint="default"/>
      </w:rPr>
    </w:lvl>
    <w:lvl w:ilvl="2">
      <w:start w:val="2"/>
      <w:numFmt w:val="decimal"/>
      <w:lvlText w:val="%3.0"/>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75038BF"/>
    <w:multiLevelType w:val="hybridMultilevel"/>
    <w:tmpl w:val="2F903504"/>
    <w:lvl w:ilvl="0" w:tplc="37344528">
      <w:start w:val="7"/>
      <w:numFmt w:val="decimal"/>
      <w:lvlText w:val="3.%1"/>
      <w:lvlJc w:val="left"/>
      <w:pPr>
        <w:ind w:left="928"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CE790C"/>
    <w:multiLevelType w:val="multilevel"/>
    <w:tmpl w:val="7A128866"/>
    <w:lvl w:ilvl="0">
      <w:start w:val="2"/>
      <w:numFmt w:val="decimal"/>
      <w:lvlText w:val="%1.0"/>
      <w:lvlJc w:val="left"/>
      <w:pPr>
        <w:ind w:left="405" w:hanging="405"/>
      </w:pPr>
      <w:rPr>
        <w:rFonts w:hint="default"/>
        <w:b/>
      </w:rPr>
    </w:lvl>
    <w:lvl w:ilvl="1">
      <w:start w:val="1"/>
      <w:numFmt w:val="decimal"/>
      <w:lvlText w:val="4.%2"/>
      <w:lvlJc w:val="left"/>
      <w:pPr>
        <w:ind w:left="689"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09A23640"/>
    <w:multiLevelType w:val="hybridMultilevel"/>
    <w:tmpl w:val="CA3A952E"/>
    <w:lvl w:ilvl="0" w:tplc="AE28B822">
      <w:start w:val="1"/>
      <w:numFmt w:val="decimal"/>
      <w:lvlText w:val="2.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CC757C"/>
    <w:multiLevelType w:val="hybridMultilevel"/>
    <w:tmpl w:val="79D0C73C"/>
    <w:lvl w:ilvl="0" w:tplc="66C4F04E">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AD659EE"/>
    <w:multiLevelType w:val="hybridMultilevel"/>
    <w:tmpl w:val="9E1E5938"/>
    <w:lvl w:ilvl="0" w:tplc="FE304298">
      <w:numFmt w:val="decimal"/>
      <w:lvlText w:val="2.5%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D66AB4"/>
    <w:multiLevelType w:val="multilevel"/>
    <w:tmpl w:val="0BDA139E"/>
    <w:lvl w:ilvl="0">
      <w:start w:val="1"/>
      <w:numFmt w:val="none"/>
      <w:lvlText w:val="1.1"/>
      <w:lvlJc w:val="left"/>
      <w:pPr>
        <w:ind w:left="360" w:hanging="360"/>
      </w:pPr>
      <w:rPr>
        <w:rFonts w:hint="default"/>
      </w:rPr>
    </w:lvl>
    <w:lvl w:ilvl="1">
      <w:start w:val="1"/>
      <w:numFmt w:val="none"/>
      <w:lvlText w:val="2.1"/>
      <w:lvlJc w:val="left"/>
      <w:pPr>
        <w:ind w:left="360" w:hanging="360"/>
      </w:pPr>
      <w:rPr>
        <w:rFonts w:hint="default"/>
      </w:rPr>
    </w:lvl>
    <w:lvl w:ilvl="2">
      <w:start w:val="1"/>
      <w:numFmt w:val="none"/>
      <w:lvlText w:val="1.2"/>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D907F0D"/>
    <w:multiLevelType w:val="multilevel"/>
    <w:tmpl w:val="A7C49764"/>
    <w:lvl w:ilvl="0">
      <w:start w:val="2"/>
      <w:numFmt w:val="decimal"/>
      <w:lvlText w:val="%1"/>
      <w:lvlJc w:val="left"/>
      <w:pPr>
        <w:ind w:left="465" w:hanging="465"/>
      </w:pPr>
      <w:rPr>
        <w:rFonts w:hint="default"/>
      </w:rPr>
    </w:lvl>
    <w:lvl w:ilvl="1">
      <w:numFmt w:val="decimal"/>
      <w:lvlText w:val="2.6%2"/>
      <w:lvlJc w:val="center"/>
      <w:pPr>
        <w:ind w:left="891"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2">
    <w:nsid w:val="0E450D37"/>
    <w:multiLevelType w:val="multilevel"/>
    <w:tmpl w:val="3E46951E"/>
    <w:lvl w:ilvl="0">
      <w:start w:val="2"/>
      <w:numFmt w:val="decimal"/>
      <w:lvlText w:val="%1.0"/>
      <w:lvlJc w:val="left"/>
      <w:pPr>
        <w:ind w:left="405" w:hanging="405"/>
      </w:pPr>
      <w:rPr>
        <w:rFonts w:hint="default"/>
        <w:b/>
      </w:rPr>
    </w:lvl>
    <w:lvl w:ilvl="1">
      <w:start w:val="1"/>
      <w:numFmt w:val="decimal"/>
      <w:lvlText w:val="2.%20"/>
      <w:lvlJc w:val="left"/>
      <w:pPr>
        <w:ind w:left="624" w:hanging="198"/>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0ED52E60"/>
    <w:multiLevelType w:val="multilevel"/>
    <w:tmpl w:val="93721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2BF5BA7"/>
    <w:multiLevelType w:val="hybridMultilevel"/>
    <w:tmpl w:val="B6CAEB56"/>
    <w:lvl w:ilvl="0" w:tplc="F3DCC804">
      <w:numFmt w:val="decimal"/>
      <w:lvlText w:val="2.7%1"/>
      <w:lvlJc w:val="center"/>
      <w:pPr>
        <w:ind w:left="144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EB55F0"/>
    <w:multiLevelType w:val="hybridMultilevel"/>
    <w:tmpl w:val="4D74DFB6"/>
    <w:lvl w:ilvl="0" w:tplc="1BAC1566">
      <w:start w:val="8"/>
      <w:numFmt w:val="decimal"/>
      <w:lvlText w:val="2.6%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8C02EFD"/>
    <w:multiLevelType w:val="hybridMultilevel"/>
    <w:tmpl w:val="1F44B88E"/>
    <w:lvl w:ilvl="0" w:tplc="C366B5E8">
      <w:start w:val="1"/>
      <w:numFmt w:val="decimal"/>
      <w:lvlText w:val="2.5%1"/>
      <w:lvlJc w:val="center"/>
      <w:pPr>
        <w:ind w:left="16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92017C2"/>
    <w:multiLevelType w:val="multilevel"/>
    <w:tmpl w:val="9920E60A"/>
    <w:lvl w:ilvl="0">
      <w:start w:val="2"/>
      <w:numFmt w:val="decimal"/>
      <w:lvlText w:val="%1"/>
      <w:lvlJc w:val="left"/>
      <w:pPr>
        <w:ind w:left="465" w:hanging="465"/>
      </w:pPr>
      <w:rPr>
        <w:rFonts w:hint="default"/>
      </w:rPr>
    </w:lvl>
    <w:lvl w:ilvl="1">
      <w:start w:val="3"/>
      <w:numFmt w:val="decimal"/>
      <w:lvlText w:val="2.5%2"/>
      <w:lvlJc w:val="center"/>
      <w:pPr>
        <w:ind w:left="749"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8">
    <w:nsid w:val="1A3339BB"/>
    <w:multiLevelType w:val="hybridMultilevel"/>
    <w:tmpl w:val="D346C9DE"/>
    <w:lvl w:ilvl="0" w:tplc="3FAE4F3E">
      <w:start w:val="1"/>
      <w:numFmt w:val="decimal"/>
      <w:lvlText w:val="2.2%1"/>
      <w:lvlJc w:val="left"/>
      <w:pPr>
        <w:ind w:left="882" w:hanging="360"/>
      </w:pPr>
      <w:rPr>
        <w:rFonts w:hint="default"/>
      </w:rPr>
    </w:lvl>
    <w:lvl w:ilvl="1" w:tplc="08090019" w:tentative="1">
      <w:start w:val="1"/>
      <w:numFmt w:val="lowerLetter"/>
      <w:lvlText w:val="%2."/>
      <w:lvlJc w:val="left"/>
      <w:pPr>
        <w:ind w:left="1602" w:hanging="360"/>
      </w:pPr>
    </w:lvl>
    <w:lvl w:ilvl="2" w:tplc="0809001B" w:tentative="1">
      <w:start w:val="1"/>
      <w:numFmt w:val="lowerRoman"/>
      <w:lvlText w:val="%3."/>
      <w:lvlJc w:val="right"/>
      <w:pPr>
        <w:ind w:left="2322" w:hanging="180"/>
      </w:pPr>
    </w:lvl>
    <w:lvl w:ilvl="3" w:tplc="0809000F" w:tentative="1">
      <w:start w:val="1"/>
      <w:numFmt w:val="decimal"/>
      <w:lvlText w:val="%4."/>
      <w:lvlJc w:val="left"/>
      <w:pPr>
        <w:ind w:left="3042" w:hanging="360"/>
      </w:pPr>
    </w:lvl>
    <w:lvl w:ilvl="4" w:tplc="08090019" w:tentative="1">
      <w:start w:val="1"/>
      <w:numFmt w:val="lowerLetter"/>
      <w:lvlText w:val="%5."/>
      <w:lvlJc w:val="left"/>
      <w:pPr>
        <w:ind w:left="3762" w:hanging="360"/>
      </w:pPr>
    </w:lvl>
    <w:lvl w:ilvl="5" w:tplc="0809001B" w:tentative="1">
      <w:start w:val="1"/>
      <w:numFmt w:val="lowerRoman"/>
      <w:lvlText w:val="%6."/>
      <w:lvlJc w:val="right"/>
      <w:pPr>
        <w:ind w:left="4482" w:hanging="180"/>
      </w:pPr>
    </w:lvl>
    <w:lvl w:ilvl="6" w:tplc="0809000F" w:tentative="1">
      <w:start w:val="1"/>
      <w:numFmt w:val="decimal"/>
      <w:lvlText w:val="%7."/>
      <w:lvlJc w:val="left"/>
      <w:pPr>
        <w:ind w:left="5202" w:hanging="360"/>
      </w:pPr>
    </w:lvl>
    <w:lvl w:ilvl="7" w:tplc="08090019" w:tentative="1">
      <w:start w:val="1"/>
      <w:numFmt w:val="lowerLetter"/>
      <w:lvlText w:val="%8."/>
      <w:lvlJc w:val="left"/>
      <w:pPr>
        <w:ind w:left="5922" w:hanging="360"/>
      </w:pPr>
    </w:lvl>
    <w:lvl w:ilvl="8" w:tplc="0809001B" w:tentative="1">
      <w:start w:val="1"/>
      <w:numFmt w:val="lowerRoman"/>
      <w:lvlText w:val="%9."/>
      <w:lvlJc w:val="right"/>
      <w:pPr>
        <w:ind w:left="6642" w:hanging="180"/>
      </w:pPr>
    </w:lvl>
  </w:abstractNum>
  <w:abstractNum w:abstractNumId="19">
    <w:nsid w:val="1C202E04"/>
    <w:multiLevelType w:val="multilevel"/>
    <w:tmpl w:val="9830F07E"/>
    <w:lvl w:ilvl="0">
      <w:start w:val="2"/>
      <w:numFmt w:val="decimal"/>
      <w:lvlText w:val="%1.5"/>
      <w:lvlJc w:val="left"/>
      <w:pPr>
        <w:ind w:left="405" w:hanging="405"/>
      </w:pPr>
      <w:rPr>
        <w:rFonts w:hint="default"/>
        <w:b/>
      </w:rPr>
    </w:lvl>
    <w:lvl w:ilvl="1">
      <w:start w:val="9"/>
      <w:numFmt w:val="decimal"/>
      <w:lvlText w:val="2.4%2"/>
      <w:lvlJc w:val="center"/>
      <w:pPr>
        <w:ind w:left="689"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1C7440D4"/>
    <w:multiLevelType w:val="multilevel"/>
    <w:tmpl w:val="9D4AADB2"/>
    <w:lvl w:ilvl="0">
      <w:start w:val="2"/>
      <w:numFmt w:val="decimal"/>
      <w:lvlText w:val="%1"/>
      <w:lvlJc w:val="left"/>
      <w:pPr>
        <w:ind w:left="465" w:hanging="465"/>
      </w:pPr>
      <w:rPr>
        <w:rFonts w:hint="default"/>
      </w:rPr>
    </w:lvl>
    <w:lvl w:ilvl="1">
      <w:start w:val="1"/>
      <w:numFmt w:val="decimal"/>
      <w:lvlText w:val="2.5%2"/>
      <w:lvlJc w:val="center"/>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E11315D"/>
    <w:multiLevelType w:val="hybridMultilevel"/>
    <w:tmpl w:val="FA346290"/>
    <w:lvl w:ilvl="0" w:tplc="0F5810FC">
      <w:start w:val="5"/>
      <w:numFmt w:val="decimal"/>
      <w:lvlText w:val="2.2%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EEB4A38"/>
    <w:multiLevelType w:val="hybridMultilevel"/>
    <w:tmpl w:val="05E0BC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nsid w:val="20330A09"/>
    <w:multiLevelType w:val="multilevel"/>
    <w:tmpl w:val="755CC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12C4795"/>
    <w:multiLevelType w:val="multilevel"/>
    <w:tmpl w:val="48009912"/>
    <w:lvl w:ilvl="0">
      <w:start w:val="2"/>
      <w:numFmt w:val="decimal"/>
      <w:lvlText w:val="%1"/>
      <w:lvlJc w:val="left"/>
      <w:pPr>
        <w:ind w:left="465" w:hanging="465"/>
      </w:pPr>
      <w:rPr>
        <w:rFonts w:hint="default"/>
      </w:rPr>
    </w:lvl>
    <w:lvl w:ilvl="1">
      <w:start w:val="9"/>
      <w:numFmt w:val="decimal"/>
      <w:lvlText w:val="2.5%2"/>
      <w:lvlJc w:val="center"/>
      <w:pPr>
        <w:ind w:left="749"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25">
    <w:nsid w:val="21852EE4"/>
    <w:multiLevelType w:val="hybridMultilevel"/>
    <w:tmpl w:val="C9E4BF78"/>
    <w:lvl w:ilvl="0" w:tplc="D2EA00CC">
      <w:start w:val="5"/>
      <w:numFmt w:val="decimal"/>
      <w:lvlText w:val="%1.1"/>
      <w:lvlJc w:val="left"/>
      <w:pPr>
        <w:ind w:left="502" w:hanging="360"/>
      </w:pPr>
      <w:rPr>
        <w:rFonts w:hint="default"/>
        <w:b w:val="0"/>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6">
    <w:nsid w:val="21B60254"/>
    <w:multiLevelType w:val="hybridMultilevel"/>
    <w:tmpl w:val="EFAC445A"/>
    <w:lvl w:ilvl="0" w:tplc="79D429DC">
      <w:numFmt w:val="decimal"/>
      <w:lvlText w:val="2.6%1"/>
      <w:lvlJc w:val="center"/>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2710280"/>
    <w:multiLevelType w:val="hybridMultilevel"/>
    <w:tmpl w:val="542A5C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241B4ADA"/>
    <w:multiLevelType w:val="hybridMultilevel"/>
    <w:tmpl w:val="7EB8D2A0"/>
    <w:lvl w:ilvl="0" w:tplc="AE28B822">
      <w:start w:val="1"/>
      <w:numFmt w:val="decimal"/>
      <w:lvlText w:val="2.3%1"/>
      <w:lvlJc w:val="left"/>
      <w:pPr>
        <w:ind w:left="1080" w:hanging="360"/>
      </w:pPr>
      <w:rPr>
        <w:rFonts w:hint="default"/>
      </w:rPr>
    </w:lvl>
    <w:lvl w:ilvl="1" w:tplc="08090019" w:tentative="1">
      <w:start w:val="1"/>
      <w:numFmt w:val="lowerLetter"/>
      <w:lvlText w:val="%2."/>
      <w:lvlJc w:val="left"/>
      <w:pPr>
        <w:ind w:left="1800" w:hanging="360"/>
      </w:pPr>
    </w:lvl>
    <w:lvl w:ilvl="2" w:tplc="AAF625EA">
      <w:start w:val="2"/>
      <w:numFmt w:val="decimal"/>
      <w:lvlText w:val="%3."/>
      <w:lvlJc w:val="left"/>
      <w:pPr>
        <w:ind w:left="2520" w:hanging="18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26427837"/>
    <w:multiLevelType w:val="hybridMultilevel"/>
    <w:tmpl w:val="AB6847B4"/>
    <w:lvl w:ilvl="0" w:tplc="02C8EF70">
      <w:start w:val="1"/>
      <w:numFmt w:val="decimal"/>
      <w:lvlText w:val="2.2%1"/>
      <w:lvlJc w:val="left"/>
      <w:pPr>
        <w:ind w:left="567"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30">
    <w:nsid w:val="280B66B5"/>
    <w:multiLevelType w:val="hybridMultilevel"/>
    <w:tmpl w:val="F9221420"/>
    <w:lvl w:ilvl="0" w:tplc="B15A4D2E">
      <w:numFmt w:val="decimal"/>
      <w:lvlText w:val="2.6%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8D64C9B"/>
    <w:multiLevelType w:val="multilevel"/>
    <w:tmpl w:val="A920C562"/>
    <w:lvl w:ilvl="0">
      <w:start w:val="2"/>
      <w:numFmt w:val="decimal"/>
      <w:lvlText w:val="%1.0"/>
      <w:lvlJc w:val="left"/>
      <w:pPr>
        <w:ind w:left="405" w:hanging="405"/>
      </w:pPr>
      <w:rPr>
        <w:rFonts w:hint="default"/>
        <w:b/>
      </w:rPr>
    </w:lvl>
    <w:lvl w:ilvl="1">
      <w:start w:val="9"/>
      <w:numFmt w:val="decimal"/>
      <w:lvlText w:val="2.%2"/>
      <w:lvlJc w:val="left"/>
      <w:pPr>
        <w:ind w:left="624" w:hanging="198"/>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29013352"/>
    <w:multiLevelType w:val="hybridMultilevel"/>
    <w:tmpl w:val="A000D15E"/>
    <w:lvl w:ilvl="0" w:tplc="478403EA">
      <w:start w:val="7"/>
      <w:numFmt w:val="decimal"/>
      <w:lvlText w:val="2.6%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BE70B23"/>
    <w:multiLevelType w:val="hybridMultilevel"/>
    <w:tmpl w:val="F646A1A8"/>
    <w:lvl w:ilvl="0" w:tplc="E79E1FB8">
      <w:start w:val="6"/>
      <w:numFmt w:val="decimal"/>
      <w:lvlText w:val="2.5%1"/>
      <w:lvlJc w:val="center"/>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C224101"/>
    <w:multiLevelType w:val="multilevel"/>
    <w:tmpl w:val="BDF4B71A"/>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2FA047AD"/>
    <w:multiLevelType w:val="multilevel"/>
    <w:tmpl w:val="237A619E"/>
    <w:lvl w:ilvl="0">
      <w:start w:val="2"/>
      <w:numFmt w:val="decimal"/>
      <w:lvlText w:val="%1.2"/>
      <w:lvlJc w:val="left"/>
      <w:pPr>
        <w:ind w:left="786" w:hanging="360"/>
      </w:pPr>
      <w:rPr>
        <w:rFonts w:hint="default"/>
      </w:rPr>
    </w:lvl>
    <w:lvl w:ilvl="1">
      <w:start w:val="1"/>
      <w:numFmt w:val="none"/>
      <w:lvlText w:val="2.1"/>
      <w:lvlJc w:val="left"/>
      <w:pPr>
        <w:ind w:left="360" w:hanging="360"/>
      </w:pPr>
      <w:rPr>
        <w:rFonts w:hint="default"/>
      </w:rPr>
    </w:lvl>
    <w:lvl w:ilvl="2">
      <w:start w:val="2"/>
      <w:numFmt w:val="decimal"/>
      <w:lvlText w:val="%3.0"/>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304504C6"/>
    <w:multiLevelType w:val="hybridMultilevel"/>
    <w:tmpl w:val="99EA3438"/>
    <w:lvl w:ilvl="0" w:tplc="94BEA228">
      <w:start w:val="5"/>
      <w:numFmt w:val="decimal"/>
      <w:lvlText w:val="2.5%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0782A74"/>
    <w:multiLevelType w:val="multilevel"/>
    <w:tmpl w:val="DA52F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31A01576"/>
    <w:multiLevelType w:val="hybridMultilevel"/>
    <w:tmpl w:val="0E36B098"/>
    <w:lvl w:ilvl="0" w:tplc="32401C4E">
      <w:start w:val="9"/>
      <w:numFmt w:val="decimal"/>
      <w:lvlText w:val="2.4%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565139A"/>
    <w:multiLevelType w:val="hybridMultilevel"/>
    <w:tmpl w:val="7B2A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6301E27"/>
    <w:multiLevelType w:val="multilevel"/>
    <w:tmpl w:val="F54018D4"/>
    <w:lvl w:ilvl="0">
      <w:start w:val="2"/>
      <w:numFmt w:val="decimal"/>
      <w:lvlText w:val="%1"/>
      <w:lvlJc w:val="left"/>
      <w:pPr>
        <w:ind w:left="360" w:hanging="360"/>
      </w:pPr>
      <w:rPr>
        <w:rFonts w:hint="default"/>
      </w:rPr>
    </w:lvl>
    <w:lvl w:ilvl="1">
      <w:start w:val="2"/>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41">
    <w:nsid w:val="36D66CCE"/>
    <w:multiLevelType w:val="hybridMultilevel"/>
    <w:tmpl w:val="CB946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7E22381"/>
    <w:multiLevelType w:val="multilevel"/>
    <w:tmpl w:val="77B6E9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3880407B"/>
    <w:multiLevelType w:val="hybridMultilevel"/>
    <w:tmpl w:val="26782C3E"/>
    <w:lvl w:ilvl="0" w:tplc="6AD6146E">
      <w:start w:val="1"/>
      <w:numFmt w:val="decimal"/>
      <w:lvlText w:val="2.6%1"/>
      <w:lvlJc w:val="center"/>
      <w:pPr>
        <w:ind w:left="1495" w:hanging="360"/>
      </w:pPr>
      <w:rPr>
        <w:rFonts w:hint="default"/>
      </w:r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44">
    <w:nsid w:val="3893164E"/>
    <w:multiLevelType w:val="multilevel"/>
    <w:tmpl w:val="F7D44478"/>
    <w:lvl w:ilvl="0">
      <w:start w:val="2"/>
      <w:numFmt w:val="decimal"/>
      <w:lvlText w:val="%1.0"/>
      <w:lvlJc w:val="left"/>
      <w:pPr>
        <w:ind w:left="405" w:hanging="405"/>
      </w:pPr>
      <w:rPr>
        <w:rFonts w:hint="default"/>
        <w:b/>
      </w:rPr>
    </w:lvl>
    <w:lvl w:ilvl="1">
      <w:numFmt w:val="decimal"/>
      <w:lvlText w:val="2.4%2"/>
      <w:lvlJc w:val="center"/>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38DB64B1"/>
    <w:multiLevelType w:val="hybridMultilevel"/>
    <w:tmpl w:val="62641E94"/>
    <w:lvl w:ilvl="0" w:tplc="914697BC">
      <w:start w:val="2"/>
      <w:numFmt w:val="decimal"/>
      <w:lvlText w:val="2.7%1"/>
      <w:lvlJc w:val="center"/>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6">
    <w:nsid w:val="39510B18"/>
    <w:multiLevelType w:val="hybridMultilevel"/>
    <w:tmpl w:val="7F288AF2"/>
    <w:lvl w:ilvl="0" w:tplc="AE28B822">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A8D66D6"/>
    <w:multiLevelType w:val="hybridMultilevel"/>
    <w:tmpl w:val="EDD48DD4"/>
    <w:lvl w:ilvl="0" w:tplc="059C995C">
      <w:start w:val="2"/>
      <w:numFmt w:val="decimal"/>
      <w:lvlText w:val="2.7%1"/>
      <w:lvlJc w:val="center"/>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3B6314AE"/>
    <w:multiLevelType w:val="multilevel"/>
    <w:tmpl w:val="C35AD69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3B851BA3"/>
    <w:multiLevelType w:val="hybridMultilevel"/>
    <w:tmpl w:val="5F1AF014"/>
    <w:lvl w:ilvl="0" w:tplc="D69CB26C">
      <w:start w:val="5"/>
      <w:numFmt w:val="decimal"/>
      <w:lvlText w:val="2.5%1"/>
      <w:lvlJc w:val="center"/>
      <w:pPr>
        <w:ind w:left="86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CD46023"/>
    <w:multiLevelType w:val="hybridMultilevel"/>
    <w:tmpl w:val="D838787E"/>
    <w:lvl w:ilvl="0" w:tplc="28C2FC24">
      <w:start w:val="9"/>
      <w:numFmt w:val="decimal"/>
      <w:lvlText w:val="2.6%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3D3D7F93"/>
    <w:multiLevelType w:val="multilevel"/>
    <w:tmpl w:val="7624D00C"/>
    <w:lvl w:ilvl="0">
      <w:start w:val="2"/>
      <w:numFmt w:val="decimal"/>
      <w:lvlText w:val="%1.0"/>
      <w:lvlJc w:val="left"/>
      <w:pPr>
        <w:ind w:left="405" w:hanging="405"/>
      </w:pPr>
      <w:rPr>
        <w:rFonts w:hint="default"/>
        <w:b/>
      </w:rPr>
    </w:lvl>
    <w:lvl w:ilvl="1">
      <w:start w:val="6"/>
      <w:numFmt w:val="decimal"/>
      <w:lvlText w:val="2.2%2"/>
      <w:lvlJc w:val="left"/>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nsid w:val="3D801F89"/>
    <w:multiLevelType w:val="hybridMultilevel"/>
    <w:tmpl w:val="877AF2EA"/>
    <w:lvl w:ilvl="0" w:tplc="4210B620">
      <w:start w:val="1"/>
      <w:numFmt w:val="decimal"/>
      <w:lvlText w:val="2.50%1"/>
      <w:lvlJc w:val="center"/>
      <w:pPr>
        <w:ind w:left="1642" w:hanging="360"/>
      </w:pPr>
      <w:rPr>
        <w:rFonts w:hint="default"/>
      </w:rPr>
    </w:lvl>
    <w:lvl w:ilvl="1" w:tplc="08090019">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53">
    <w:nsid w:val="3DCE4B4D"/>
    <w:multiLevelType w:val="hybridMultilevel"/>
    <w:tmpl w:val="98D48086"/>
    <w:lvl w:ilvl="0" w:tplc="6AD6146E">
      <w:start w:val="1"/>
      <w:numFmt w:val="decimal"/>
      <w:lvlText w:val="2.6%1"/>
      <w:lvlJc w:val="center"/>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3F55672E"/>
    <w:multiLevelType w:val="hybridMultilevel"/>
    <w:tmpl w:val="4DDA20C4"/>
    <w:lvl w:ilvl="0" w:tplc="08090001">
      <w:start w:val="1"/>
      <w:numFmt w:val="bullet"/>
      <w:lvlText w:val=""/>
      <w:lvlJc w:val="left"/>
      <w:pPr>
        <w:ind w:left="1440" w:hanging="360"/>
      </w:pPr>
      <w:rPr>
        <w:rFonts w:ascii="Symbol" w:hAnsi="Symbol" w:hint="default"/>
      </w:rPr>
    </w:lvl>
    <w:lvl w:ilvl="1" w:tplc="36280302">
      <w:start w:val="1"/>
      <w:numFmt w:val="decimal"/>
      <w:lvlText w:val="%2.5"/>
      <w:lvlJc w:val="left"/>
      <w:pPr>
        <w:ind w:left="2160" w:hanging="360"/>
      </w:pPr>
      <w:rPr>
        <w:rFonts w:hint="default"/>
        <w:b w:val="0"/>
        <w:color w:val="000000" w:themeColor="text1"/>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55">
    <w:nsid w:val="400C4B30"/>
    <w:multiLevelType w:val="multilevel"/>
    <w:tmpl w:val="FE5478F0"/>
    <w:lvl w:ilvl="0">
      <w:start w:val="2"/>
      <w:numFmt w:val="decimal"/>
      <w:lvlText w:val="%1.0"/>
      <w:lvlJc w:val="left"/>
      <w:pPr>
        <w:ind w:left="405" w:hanging="405"/>
      </w:pPr>
      <w:rPr>
        <w:rFonts w:hint="default"/>
        <w:b/>
      </w:rPr>
    </w:lvl>
    <w:lvl w:ilvl="1">
      <w:start w:val="9"/>
      <w:numFmt w:val="decimal"/>
      <w:lvlText w:val="2.3%2"/>
      <w:lvlJc w:val="left"/>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nsid w:val="403E4F15"/>
    <w:multiLevelType w:val="multilevel"/>
    <w:tmpl w:val="189C8E58"/>
    <w:lvl w:ilvl="0">
      <w:start w:val="2"/>
      <w:numFmt w:val="decimal"/>
      <w:lvlText w:val="%1"/>
      <w:lvlJc w:val="left"/>
      <w:pPr>
        <w:ind w:left="465" w:hanging="465"/>
      </w:pPr>
      <w:rPr>
        <w:rFonts w:hint="default"/>
      </w:rPr>
    </w:lvl>
    <w:lvl w:ilvl="1">
      <w:start w:val="40"/>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7">
    <w:nsid w:val="42672DCA"/>
    <w:multiLevelType w:val="hybridMultilevel"/>
    <w:tmpl w:val="8DC43DBA"/>
    <w:lvl w:ilvl="0" w:tplc="3FAE4F3E">
      <w:start w:val="1"/>
      <w:numFmt w:val="decimal"/>
      <w:lvlText w:val="2.2%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852B72"/>
    <w:multiLevelType w:val="multilevel"/>
    <w:tmpl w:val="288A825E"/>
    <w:lvl w:ilvl="0">
      <w:start w:val="5"/>
      <w:numFmt w:val="decimal"/>
      <w:lvlText w:val="%1"/>
      <w:lvlJc w:val="left"/>
      <w:pPr>
        <w:ind w:left="360" w:hanging="360"/>
      </w:pPr>
      <w:rPr>
        <w:rFonts w:hint="default"/>
      </w:rPr>
    </w:lvl>
    <w:lvl w:ilvl="1">
      <w:start w:val="5"/>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42F97D88"/>
    <w:multiLevelType w:val="hybridMultilevel"/>
    <w:tmpl w:val="0FF441CE"/>
    <w:lvl w:ilvl="0" w:tplc="286C2A9C">
      <w:start w:val="1"/>
      <w:numFmt w:val="decimal"/>
      <w:lvlText w:val="2.3%1"/>
      <w:lvlJc w:val="left"/>
      <w:pPr>
        <w:ind w:left="1642"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0">
    <w:nsid w:val="434A41C5"/>
    <w:multiLevelType w:val="hybridMultilevel"/>
    <w:tmpl w:val="E780D1AA"/>
    <w:lvl w:ilvl="0" w:tplc="139CA598">
      <w:start w:val="1"/>
      <w:numFmt w:val="decimal"/>
      <w:lvlText w:val="2.5%1"/>
      <w:lvlJc w:val="center"/>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nsid w:val="43BC4B05"/>
    <w:multiLevelType w:val="hybridMultilevel"/>
    <w:tmpl w:val="B5BA198C"/>
    <w:lvl w:ilvl="0" w:tplc="A60A5F5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44EF3C60"/>
    <w:multiLevelType w:val="multilevel"/>
    <w:tmpl w:val="CC8E14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45CE20FB"/>
    <w:multiLevelType w:val="hybridMultilevel"/>
    <w:tmpl w:val="215E8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6FF72EC"/>
    <w:multiLevelType w:val="multilevel"/>
    <w:tmpl w:val="0BDA139E"/>
    <w:lvl w:ilvl="0">
      <w:start w:val="1"/>
      <w:numFmt w:val="none"/>
      <w:lvlText w:val="1.1"/>
      <w:lvlJc w:val="left"/>
      <w:pPr>
        <w:ind w:left="360" w:hanging="360"/>
      </w:pPr>
      <w:rPr>
        <w:rFonts w:hint="default"/>
      </w:rPr>
    </w:lvl>
    <w:lvl w:ilvl="1">
      <w:start w:val="1"/>
      <w:numFmt w:val="none"/>
      <w:lvlText w:val="2.1"/>
      <w:lvlJc w:val="left"/>
      <w:pPr>
        <w:ind w:left="360" w:hanging="360"/>
      </w:pPr>
      <w:rPr>
        <w:rFonts w:hint="default"/>
      </w:rPr>
    </w:lvl>
    <w:lvl w:ilvl="2">
      <w:start w:val="1"/>
      <w:numFmt w:val="none"/>
      <w:lvlText w:val="1.2"/>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47611ED2"/>
    <w:multiLevelType w:val="hybridMultilevel"/>
    <w:tmpl w:val="4FDC35D8"/>
    <w:lvl w:ilvl="0" w:tplc="0AA0E638">
      <w:start w:val="6"/>
      <w:numFmt w:val="decimal"/>
      <w:lvlText w:val="2.6%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8E24EDE"/>
    <w:multiLevelType w:val="hybridMultilevel"/>
    <w:tmpl w:val="C3D2DF90"/>
    <w:lvl w:ilvl="0" w:tplc="AE28B822">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95D41FC"/>
    <w:multiLevelType w:val="hybridMultilevel"/>
    <w:tmpl w:val="FB3A9D38"/>
    <w:lvl w:ilvl="0" w:tplc="37344528">
      <w:start w:val="7"/>
      <w:numFmt w:val="decimal"/>
      <w:lvlText w:val="3.%1"/>
      <w:lvlJc w:val="left"/>
      <w:pPr>
        <w:ind w:left="928"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49BF66B1"/>
    <w:multiLevelType w:val="hybridMultilevel"/>
    <w:tmpl w:val="CE1E042E"/>
    <w:lvl w:ilvl="0" w:tplc="1E200D82">
      <w:start w:val="37"/>
      <w:numFmt w:val="decimal"/>
      <w:lvlText w:val="3.%1"/>
      <w:lvlJc w:val="left"/>
      <w:pPr>
        <w:ind w:left="928"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B6E6DA2"/>
    <w:multiLevelType w:val="multilevel"/>
    <w:tmpl w:val="E1B0D3D4"/>
    <w:lvl w:ilvl="0">
      <w:start w:val="2"/>
      <w:numFmt w:val="decimal"/>
      <w:lvlText w:val="%1.5"/>
      <w:lvlJc w:val="left"/>
      <w:pPr>
        <w:ind w:left="405" w:hanging="405"/>
      </w:pPr>
      <w:rPr>
        <w:rFonts w:hint="default"/>
        <w:b/>
      </w:rPr>
    </w:lvl>
    <w:lvl w:ilvl="1">
      <w:start w:val="2"/>
      <w:numFmt w:val="decimal"/>
      <w:lvlText w:val="2.5%2"/>
      <w:lvlJc w:val="center"/>
      <w:pPr>
        <w:ind w:left="689"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0">
    <w:nsid w:val="4D211D30"/>
    <w:multiLevelType w:val="hybridMultilevel"/>
    <w:tmpl w:val="C100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D835A32"/>
    <w:multiLevelType w:val="multilevel"/>
    <w:tmpl w:val="A60213CC"/>
    <w:lvl w:ilvl="0">
      <w:start w:val="4"/>
      <w:numFmt w:val="decimal"/>
      <w:lvlText w:val="%1"/>
      <w:lvlJc w:val="left"/>
      <w:pPr>
        <w:ind w:left="360" w:hanging="360"/>
      </w:pPr>
      <w:rPr>
        <w:rFonts w:hint="default"/>
      </w:rPr>
    </w:lvl>
    <w:lvl w:ilvl="1">
      <w:start w:val="2"/>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4DBA2E8A"/>
    <w:multiLevelType w:val="hybridMultilevel"/>
    <w:tmpl w:val="429CB2A6"/>
    <w:lvl w:ilvl="0" w:tplc="6AD6146E">
      <w:start w:val="1"/>
      <w:numFmt w:val="decimal"/>
      <w:lvlText w:val="2.6%1"/>
      <w:lvlJc w:val="center"/>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E4A2BD6"/>
    <w:multiLevelType w:val="hybridMultilevel"/>
    <w:tmpl w:val="079C27B4"/>
    <w:lvl w:ilvl="0" w:tplc="8DDA6C44">
      <w:start w:val="6"/>
      <w:numFmt w:val="decimal"/>
      <w:lvlText w:val="2.5%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4E91606C"/>
    <w:multiLevelType w:val="hybridMultilevel"/>
    <w:tmpl w:val="1C4869B0"/>
    <w:lvl w:ilvl="0" w:tplc="6AD6146E">
      <w:start w:val="1"/>
      <w:numFmt w:val="decimal"/>
      <w:lvlText w:val="2.6%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F0078B2"/>
    <w:multiLevelType w:val="multilevel"/>
    <w:tmpl w:val="25F2FFF6"/>
    <w:lvl w:ilvl="0">
      <w:start w:val="2"/>
      <w:numFmt w:val="decimal"/>
      <w:lvlText w:val="%1"/>
      <w:lvlJc w:val="left"/>
      <w:pPr>
        <w:ind w:left="465" w:hanging="465"/>
      </w:pPr>
      <w:rPr>
        <w:rFonts w:hint="default"/>
      </w:rPr>
    </w:lvl>
    <w:lvl w:ilvl="1">
      <w:start w:val="66"/>
      <w:numFmt w:val="decimal"/>
      <w:lvlText w:val="%1.%2"/>
      <w:lvlJc w:val="left"/>
      <w:pPr>
        <w:ind w:left="749"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4F0E16BD"/>
    <w:multiLevelType w:val="hybridMultilevel"/>
    <w:tmpl w:val="234C7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FF3600D"/>
    <w:multiLevelType w:val="hybridMultilevel"/>
    <w:tmpl w:val="CF3A7500"/>
    <w:lvl w:ilvl="0" w:tplc="36280302">
      <w:start w:val="1"/>
      <w:numFmt w:val="decimal"/>
      <w:lvlText w:val="%1.5"/>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8">
    <w:nsid w:val="50B613A0"/>
    <w:multiLevelType w:val="hybridMultilevel"/>
    <w:tmpl w:val="339AEC1E"/>
    <w:lvl w:ilvl="0" w:tplc="74402340">
      <w:start w:val="8"/>
      <w:numFmt w:val="decimal"/>
      <w:lvlText w:val="2.5%1"/>
      <w:lvlJc w:val="center"/>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511562E8"/>
    <w:multiLevelType w:val="hybridMultilevel"/>
    <w:tmpl w:val="5A3286FE"/>
    <w:lvl w:ilvl="0" w:tplc="76A88B16">
      <w:start w:val="1"/>
      <w:numFmt w:val="decimal"/>
      <w:lvlText w:val="4.%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520E2F93"/>
    <w:multiLevelType w:val="hybridMultilevel"/>
    <w:tmpl w:val="6AB63F6A"/>
    <w:lvl w:ilvl="0" w:tplc="914697BC">
      <w:start w:val="2"/>
      <w:numFmt w:val="decimal"/>
      <w:lvlText w:val="2.7%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530F201D"/>
    <w:multiLevelType w:val="multilevel"/>
    <w:tmpl w:val="9140B3AC"/>
    <w:lvl w:ilvl="0">
      <w:start w:val="2"/>
      <w:numFmt w:val="decimal"/>
      <w:lvlText w:val="%1"/>
      <w:lvlJc w:val="left"/>
      <w:pPr>
        <w:ind w:left="465" w:hanging="465"/>
      </w:pPr>
      <w:rPr>
        <w:rFonts w:hint="default"/>
      </w:rPr>
    </w:lvl>
    <w:lvl w:ilvl="1">
      <w:start w:val="5"/>
      <w:numFmt w:val="decimal"/>
      <w:lvlText w:val="2.6%2"/>
      <w:lvlJc w:val="center"/>
      <w:pPr>
        <w:ind w:left="607" w:hanging="465"/>
      </w:pPr>
      <w:rPr>
        <w:rFonts w:hint="default"/>
        <w:b w:val="0"/>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82">
    <w:nsid w:val="546F6DD2"/>
    <w:multiLevelType w:val="hybridMultilevel"/>
    <w:tmpl w:val="22FA27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3">
    <w:nsid w:val="564D1FC2"/>
    <w:multiLevelType w:val="multilevel"/>
    <w:tmpl w:val="2F8EB8D8"/>
    <w:lvl w:ilvl="0">
      <w:start w:val="2"/>
      <w:numFmt w:val="decimal"/>
      <w:lvlText w:val="%1.5"/>
      <w:lvlJc w:val="left"/>
      <w:pPr>
        <w:ind w:left="405" w:hanging="405"/>
      </w:pPr>
      <w:rPr>
        <w:rFonts w:hint="default"/>
        <w:b/>
      </w:rPr>
    </w:lvl>
    <w:lvl w:ilvl="1">
      <w:numFmt w:val="decimal"/>
      <w:lvlText w:val="2.5%2"/>
      <w:lvlJc w:val="center"/>
      <w:pPr>
        <w:ind w:left="689"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4">
    <w:nsid w:val="56C924A3"/>
    <w:multiLevelType w:val="hybridMultilevel"/>
    <w:tmpl w:val="F62E052C"/>
    <w:lvl w:ilvl="0" w:tplc="914697BC">
      <w:start w:val="2"/>
      <w:numFmt w:val="decimal"/>
      <w:lvlText w:val="2.7%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70C2702"/>
    <w:multiLevelType w:val="multilevel"/>
    <w:tmpl w:val="7C6A4F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57BF7A54"/>
    <w:multiLevelType w:val="hybridMultilevel"/>
    <w:tmpl w:val="6AF82A7A"/>
    <w:lvl w:ilvl="0" w:tplc="94A8545C">
      <w:start w:val="7"/>
      <w:numFmt w:val="decimal"/>
      <w:lvlText w:val="2.5%1"/>
      <w:lvlJc w:val="center"/>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A257855"/>
    <w:multiLevelType w:val="hybridMultilevel"/>
    <w:tmpl w:val="AD0C4F90"/>
    <w:lvl w:ilvl="0" w:tplc="F3DCC804">
      <w:numFmt w:val="decimal"/>
      <w:lvlText w:val="2.7%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5B4E0422"/>
    <w:multiLevelType w:val="hybridMultilevel"/>
    <w:tmpl w:val="7A823ED2"/>
    <w:lvl w:ilvl="0" w:tplc="B22A6448">
      <w:start w:val="9"/>
      <w:numFmt w:val="decimal"/>
      <w:lvlText w:val="2.6%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5C2075A7"/>
    <w:multiLevelType w:val="multilevel"/>
    <w:tmpl w:val="0296748A"/>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none"/>
      <w:lvlText w:val="1.2"/>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5DE60202"/>
    <w:multiLevelType w:val="hybridMultilevel"/>
    <w:tmpl w:val="B14C3992"/>
    <w:lvl w:ilvl="0" w:tplc="36280302">
      <w:start w:val="1"/>
      <w:numFmt w:val="decimal"/>
      <w:lvlText w:val="%1.5"/>
      <w:lvlJc w:val="left"/>
      <w:pPr>
        <w:ind w:left="1211" w:hanging="360"/>
      </w:pPr>
      <w:rPr>
        <w:rFonts w:hint="default"/>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91">
    <w:nsid w:val="5DF41E0B"/>
    <w:multiLevelType w:val="hybridMultilevel"/>
    <w:tmpl w:val="5B5E82C2"/>
    <w:lvl w:ilvl="0" w:tplc="7F380B2E">
      <w:start w:val="5"/>
      <w:numFmt w:val="decimal"/>
      <w:lvlText w:val="%1."/>
      <w:lvlJc w:val="left"/>
      <w:pPr>
        <w:ind w:left="1288" w:hanging="360"/>
      </w:pPr>
      <w:rPr>
        <w:rFonts w:hint="default"/>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92">
    <w:nsid w:val="5F83739F"/>
    <w:multiLevelType w:val="hybridMultilevel"/>
    <w:tmpl w:val="EC320218"/>
    <w:lvl w:ilvl="0" w:tplc="62A6DF78">
      <w:start w:val="2"/>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60585A39"/>
    <w:multiLevelType w:val="hybridMultilevel"/>
    <w:tmpl w:val="1CD68532"/>
    <w:lvl w:ilvl="0" w:tplc="5EDEDBFA">
      <w:start w:val="8"/>
      <w:numFmt w:val="decimal"/>
      <w:lvlText w:val="2.5%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606A170E"/>
    <w:multiLevelType w:val="hybridMultilevel"/>
    <w:tmpl w:val="BC080930"/>
    <w:lvl w:ilvl="0" w:tplc="882ED772">
      <w:numFmt w:val="decimal"/>
      <w:lvlText w:val="2.6%1"/>
      <w:lvlJc w:val="center"/>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60AE3295"/>
    <w:multiLevelType w:val="multilevel"/>
    <w:tmpl w:val="89A4E1DE"/>
    <w:lvl w:ilvl="0">
      <w:start w:val="2"/>
      <w:numFmt w:val="decimal"/>
      <w:lvlText w:val="%1"/>
      <w:lvlJc w:val="left"/>
      <w:pPr>
        <w:ind w:left="465" w:hanging="465"/>
      </w:pPr>
      <w:rPr>
        <w:rFonts w:hint="default"/>
      </w:rPr>
    </w:lvl>
    <w:lvl w:ilvl="1">
      <w:start w:val="1"/>
      <w:numFmt w:val="decimal"/>
      <w:lvlText w:val="2.6%2"/>
      <w:lvlJc w:val="center"/>
      <w:pPr>
        <w:ind w:left="1154"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96">
    <w:nsid w:val="64042B8A"/>
    <w:multiLevelType w:val="hybridMultilevel"/>
    <w:tmpl w:val="50EA6F9C"/>
    <w:lvl w:ilvl="0" w:tplc="243A0AA4">
      <w:start w:val="1"/>
      <w:numFmt w:val="decimal"/>
      <w:lvlText w:val="6.%1"/>
      <w:lvlJc w:val="left"/>
      <w:pPr>
        <w:ind w:left="1429" w:hanging="360"/>
      </w:pPr>
      <w:rPr>
        <w:rFonts w:hint="default"/>
        <w:b w:val="0"/>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7">
    <w:nsid w:val="647B1E30"/>
    <w:multiLevelType w:val="hybridMultilevel"/>
    <w:tmpl w:val="ABF68A72"/>
    <w:lvl w:ilvl="0" w:tplc="1654D740">
      <w:start w:val="1"/>
      <w:numFmt w:val="decimal"/>
      <w:lvlText w:val="2.4%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655127A6"/>
    <w:multiLevelType w:val="hybridMultilevel"/>
    <w:tmpl w:val="208CE0CA"/>
    <w:lvl w:ilvl="0" w:tplc="CBF40F64">
      <w:start w:val="2"/>
      <w:numFmt w:val="decimal"/>
      <w:lvlText w:val="%1.5"/>
      <w:lvlJc w:val="left"/>
      <w:pPr>
        <w:ind w:left="216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655C38B2"/>
    <w:multiLevelType w:val="multilevel"/>
    <w:tmpl w:val="B680DB52"/>
    <w:lvl w:ilvl="0">
      <w:start w:val="2"/>
      <w:numFmt w:val="decimal"/>
      <w:lvlText w:val="%1.0"/>
      <w:lvlJc w:val="left"/>
      <w:pPr>
        <w:ind w:left="405" w:hanging="405"/>
      </w:pPr>
      <w:rPr>
        <w:rFonts w:hint="default"/>
        <w:b/>
      </w:rPr>
    </w:lvl>
    <w:lvl w:ilvl="1">
      <w:numFmt w:val="decimal"/>
      <w:lvlText w:val="2.4%2"/>
      <w:lvlJc w:val="left"/>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0">
    <w:nsid w:val="66DC4822"/>
    <w:multiLevelType w:val="multilevel"/>
    <w:tmpl w:val="19C039D0"/>
    <w:lvl w:ilvl="0">
      <w:start w:val="1"/>
      <w:numFmt w:val="decimal"/>
      <w:lvlText w:val="%1"/>
      <w:lvlJc w:val="left"/>
      <w:pPr>
        <w:ind w:left="360" w:hanging="360"/>
      </w:pPr>
      <w:rPr>
        <w:rFonts w:hint="default"/>
      </w:rPr>
    </w:lvl>
    <w:lvl w:ilvl="1">
      <w:start w:val="3"/>
      <w:numFmt w:val="decimal"/>
      <w:lvlText w:val="%1.%2"/>
      <w:lvlJc w:val="left"/>
      <w:pPr>
        <w:ind w:left="1806" w:hanging="360"/>
      </w:pPr>
      <w:rPr>
        <w:rFonts w:hint="default"/>
      </w:rPr>
    </w:lvl>
    <w:lvl w:ilvl="2">
      <w:start w:val="1"/>
      <w:numFmt w:val="decimal"/>
      <w:lvlText w:val="%1.%2.%3"/>
      <w:lvlJc w:val="left"/>
      <w:pPr>
        <w:ind w:left="3612" w:hanging="720"/>
      </w:pPr>
      <w:rPr>
        <w:rFonts w:hint="default"/>
      </w:rPr>
    </w:lvl>
    <w:lvl w:ilvl="3">
      <w:start w:val="1"/>
      <w:numFmt w:val="decimal"/>
      <w:lvlText w:val="%1.%2.%3.%4"/>
      <w:lvlJc w:val="left"/>
      <w:pPr>
        <w:ind w:left="5418" w:hanging="108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670" w:hanging="144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922" w:hanging="1800"/>
      </w:pPr>
      <w:rPr>
        <w:rFonts w:hint="default"/>
      </w:rPr>
    </w:lvl>
    <w:lvl w:ilvl="8">
      <w:start w:val="1"/>
      <w:numFmt w:val="decimal"/>
      <w:lvlText w:val="%1.%2.%3.%4.%5.%6.%7.%8.%9"/>
      <w:lvlJc w:val="left"/>
      <w:pPr>
        <w:ind w:left="13368" w:hanging="1800"/>
      </w:pPr>
      <w:rPr>
        <w:rFonts w:hint="default"/>
      </w:rPr>
    </w:lvl>
  </w:abstractNum>
  <w:abstractNum w:abstractNumId="101">
    <w:nsid w:val="66F62679"/>
    <w:multiLevelType w:val="multilevel"/>
    <w:tmpl w:val="F5601F4A"/>
    <w:lvl w:ilvl="0">
      <w:start w:val="2"/>
      <w:numFmt w:val="decimal"/>
      <w:lvlText w:val="%1.1"/>
      <w:lvlJc w:val="left"/>
      <w:pPr>
        <w:ind w:left="360" w:hanging="360"/>
      </w:pPr>
      <w:rPr>
        <w:rFonts w:hint="default"/>
      </w:rPr>
    </w:lvl>
    <w:lvl w:ilvl="1">
      <w:start w:val="1"/>
      <w:numFmt w:val="none"/>
      <w:lvlText w:val="2.1"/>
      <w:lvlJc w:val="left"/>
      <w:pPr>
        <w:ind w:left="360" w:hanging="360"/>
      </w:pPr>
      <w:rPr>
        <w:rFonts w:hint="default"/>
      </w:rPr>
    </w:lvl>
    <w:lvl w:ilvl="2">
      <w:start w:val="2"/>
      <w:numFmt w:val="decimal"/>
      <w:lvlText w:val="%3.0"/>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67A204B5"/>
    <w:multiLevelType w:val="hybridMultilevel"/>
    <w:tmpl w:val="A5BEE988"/>
    <w:lvl w:ilvl="0" w:tplc="D4FC6B62">
      <w:numFmt w:val="decimal"/>
      <w:lvlText w:val="2.7%1"/>
      <w:lvlJc w:val="center"/>
      <w:pPr>
        <w:ind w:left="144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680C64CA"/>
    <w:multiLevelType w:val="hybridMultilevel"/>
    <w:tmpl w:val="F11A0DFA"/>
    <w:lvl w:ilvl="0" w:tplc="AE28B822">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68CF13CB"/>
    <w:multiLevelType w:val="multilevel"/>
    <w:tmpl w:val="11822E7C"/>
    <w:lvl w:ilvl="0">
      <w:start w:val="2"/>
      <w:numFmt w:val="decimal"/>
      <w:lvlText w:val="%1"/>
      <w:lvlJc w:val="left"/>
      <w:pPr>
        <w:ind w:left="465" w:hanging="465"/>
      </w:pPr>
      <w:rPr>
        <w:rFonts w:hint="default"/>
      </w:rPr>
    </w:lvl>
    <w:lvl w:ilvl="1">
      <w:start w:val="5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nsid w:val="69511311"/>
    <w:multiLevelType w:val="hybridMultilevel"/>
    <w:tmpl w:val="65C82F56"/>
    <w:lvl w:ilvl="0" w:tplc="AE28B822">
      <w:start w:val="1"/>
      <w:numFmt w:val="decimal"/>
      <w:lvlText w:val="2.3%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nsid w:val="69D314FB"/>
    <w:multiLevelType w:val="hybridMultilevel"/>
    <w:tmpl w:val="29E45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A9A5BCC"/>
    <w:multiLevelType w:val="hybridMultilevel"/>
    <w:tmpl w:val="98D6C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6B0D0E1B"/>
    <w:multiLevelType w:val="multilevel"/>
    <w:tmpl w:val="57A49E20"/>
    <w:lvl w:ilvl="0">
      <w:start w:val="2"/>
      <w:numFmt w:val="decimal"/>
      <w:lvlText w:val="%1"/>
      <w:lvlJc w:val="left"/>
      <w:pPr>
        <w:ind w:left="465" w:hanging="465"/>
      </w:pPr>
      <w:rPr>
        <w:rFonts w:hint="default"/>
      </w:rPr>
    </w:lvl>
    <w:lvl w:ilvl="1">
      <w:start w:val="39"/>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9">
    <w:nsid w:val="6B1C5C51"/>
    <w:multiLevelType w:val="multilevel"/>
    <w:tmpl w:val="9EA8F91C"/>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10">
    <w:nsid w:val="6B6C54A9"/>
    <w:multiLevelType w:val="hybridMultilevel"/>
    <w:tmpl w:val="2E2C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6C677E4E"/>
    <w:multiLevelType w:val="hybridMultilevel"/>
    <w:tmpl w:val="81064EE2"/>
    <w:lvl w:ilvl="0" w:tplc="0186E41E">
      <w:start w:val="5"/>
      <w:numFmt w:val="decimal"/>
      <w:lvlText w:val="2.5%1"/>
      <w:lvlJc w:val="center"/>
      <w:pPr>
        <w:ind w:left="16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6DCD3343"/>
    <w:multiLevelType w:val="hybridMultilevel"/>
    <w:tmpl w:val="0D68A50E"/>
    <w:lvl w:ilvl="0" w:tplc="5CF6AB88">
      <w:numFmt w:val="decimal"/>
      <w:lvlText w:val="2.7%1"/>
      <w:lvlJc w:val="center"/>
      <w:pPr>
        <w:ind w:left="144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6DF92789"/>
    <w:multiLevelType w:val="hybridMultilevel"/>
    <w:tmpl w:val="8BAE0F44"/>
    <w:lvl w:ilvl="0" w:tplc="04E66AA4">
      <w:numFmt w:val="decimal"/>
      <w:lvlText w:val="2.4%1"/>
      <w:lvlJc w:val="center"/>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70FD74E6"/>
    <w:multiLevelType w:val="multilevel"/>
    <w:tmpl w:val="BCAEECB0"/>
    <w:lvl w:ilvl="0">
      <w:start w:val="2"/>
      <w:numFmt w:val="decimal"/>
      <w:lvlText w:val="%1.0"/>
      <w:lvlJc w:val="left"/>
      <w:pPr>
        <w:ind w:left="405" w:hanging="405"/>
      </w:pPr>
      <w:rPr>
        <w:rFonts w:hint="default"/>
        <w:b/>
      </w:rPr>
    </w:lvl>
    <w:lvl w:ilvl="1">
      <w:start w:val="5"/>
      <w:numFmt w:val="decimal"/>
      <w:lvlText w:val="2.4%2"/>
      <w:lvlJc w:val="left"/>
      <w:pPr>
        <w:ind w:left="111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5">
    <w:nsid w:val="72E16322"/>
    <w:multiLevelType w:val="multilevel"/>
    <w:tmpl w:val="3350E7E2"/>
    <w:lvl w:ilvl="0">
      <w:start w:val="2"/>
      <w:numFmt w:val="decimal"/>
      <w:lvlText w:val="%1"/>
      <w:lvlJc w:val="left"/>
      <w:pPr>
        <w:ind w:left="465" w:hanging="465"/>
      </w:pPr>
      <w:rPr>
        <w:rFonts w:hint="default"/>
      </w:rPr>
    </w:lvl>
    <w:lvl w:ilvl="1">
      <w:start w:val="37"/>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6">
    <w:nsid w:val="734E3C33"/>
    <w:multiLevelType w:val="hybridMultilevel"/>
    <w:tmpl w:val="102AA1D8"/>
    <w:lvl w:ilvl="0" w:tplc="BD584EAC">
      <w:start w:val="1"/>
      <w:numFmt w:val="decimal"/>
      <w:lvlText w:val="3.%1"/>
      <w:lvlJc w:val="left"/>
      <w:pPr>
        <w:ind w:left="7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73B00AEF"/>
    <w:multiLevelType w:val="multilevel"/>
    <w:tmpl w:val="D586FA88"/>
    <w:lvl w:ilvl="0">
      <w:start w:val="2"/>
      <w:numFmt w:val="decimal"/>
      <w:lvlText w:val="%1"/>
      <w:lvlJc w:val="left"/>
      <w:pPr>
        <w:ind w:left="465" w:hanging="465"/>
      </w:pPr>
      <w:rPr>
        <w:rFonts w:hint="default"/>
      </w:rPr>
    </w:lvl>
    <w:lvl w:ilvl="1">
      <w:start w:val="8"/>
      <w:numFmt w:val="decimal"/>
      <w:lvlText w:val="2.3%2"/>
      <w:lvlJc w:val="left"/>
      <w:pPr>
        <w:ind w:left="749"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18">
    <w:nsid w:val="73F31318"/>
    <w:multiLevelType w:val="multilevel"/>
    <w:tmpl w:val="A4E8FEAE"/>
    <w:lvl w:ilvl="0">
      <w:start w:val="2"/>
      <w:numFmt w:val="decimal"/>
      <w:lvlText w:val="%1"/>
      <w:lvlJc w:val="left"/>
      <w:pPr>
        <w:ind w:left="465" w:hanging="465"/>
      </w:pPr>
      <w:rPr>
        <w:rFonts w:hint="default"/>
      </w:rPr>
    </w:lvl>
    <w:lvl w:ilvl="1">
      <w:start w:val="6"/>
      <w:numFmt w:val="decimal"/>
      <w:lvlText w:val="%1.%2"/>
      <w:lvlJc w:val="left"/>
      <w:pPr>
        <w:ind w:left="1033" w:hanging="465"/>
      </w:pPr>
      <w:rPr>
        <w:rFonts w:hint="default"/>
        <w:b w:val="0"/>
      </w:rPr>
    </w:lvl>
    <w:lvl w:ilvl="2">
      <w:start w:val="1"/>
      <w:numFmt w:val="decimal"/>
      <w:lvlText w:val="%1.%2.%3"/>
      <w:lvlJc w:val="left"/>
      <w:pPr>
        <w:ind w:left="1134" w:hanging="720"/>
      </w:pPr>
      <w:rPr>
        <w:rFonts w:hint="default"/>
      </w:rPr>
    </w:lvl>
    <w:lvl w:ilvl="3">
      <w:start w:val="1"/>
      <w:numFmt w:val="decimal"/>
      <w:lvlText w:val="%1.%2.%3.%4"/>
      <w:lvlJc w:val="left"/>
      <w:pPr>
        <w:ind w:left="1701" w:hanging="108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475" w:hanging="144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3249" w:hanging="1800"/>
      </w:pPr>
      <w:rPr>
        <w:rFonts w:hint="default"/>
      </w:rPr>
    </w:lvl>
    <w:lvl w:ilvl="8">
      <w:start w:val="1"/>
      <w:numFmt w:val="decimal"/>
      <w:lvlText w:val="%1.%2.%3.%4.%5.%6.%7.%8.%9"/>
      <w:lvlJc w:val="left"/>
      <w:pPr>
        <w:ind w:left="3456" w:hanging="1800"/>
      </w:pPr>
      <w:rPr>
        <w:rFonts w:hint="default"/>
      </w:rPr>
    </w:lvl>
  </w:abstractNum>
  <w:abstractNum w:abstractNumId="119">
    <w:nsid w:val="753F34F1"/>
    <w:multiLevelType w:val="multilevel"/>
    <w:tmpl w:val="BCA45216"/>
    <w:lvl w:ilvl="0">
      <w:start w:val="2"/>
      <w:numFmt w:val="decimal"/>
      <w:lvlText w:val="%1.0"/>
      <w:lvlJc w:val="left"/>
      <w:pPr>
        <w:ind w:left="831" w:hanging="405"/>
      </w:pPr>
      <w:rPr>
        <w:rFonts w:hint="default"/>
        <w:b/>
      </w:rPr>
    </w:lvl>
    <w:lvl w:ilvl="1">
      <w:start w:val="7"/>
      <w:numFmt w:val="decimal"/>
      <w:lvlText w:val="2.4%2"/>
      <w:lvlJc w:val="left"/>
      <w:pPr>
        <w:ind w:left="111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0">
    <w:nsid w:val="75614FD7"/>
    <w:multiLevelType w:val="multilevel"/>
    <w:tmpl w:val="79CE3BC2"/>
    <w:lvl w:ilvl="0">
      <w:start w:val="2"/>
      <w:numFmt w:val="decimal"/>
      <w:lvlText w:val="%1"/>
      <w:lvlJc w:val="left"/>
      <w:pPr>
        <w:ind w:left="465" w:hanging="465"/>
      </w:pPr>
      <w:rPr>
        <w:rFonts w:hint="default"/>
      </w:rPr>
    </w:lvl>
    <w:lvl w:ilvl="1">
      <w:start w:val="8"/>
      <w:numFmt w:val="decimal"/>
      <w:lvlText w:val="2.5%2"/>
      <w:lvlJc w:val="center"/>
      <w:pPr>
        <w:ind w:left="749"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21">
    <w:nsid w:val="76031BCE"/>
    <w:multiLevelType w:val="multilevel"/>
    <w:tmpl w:val="5E78B25E"/>
    <w:lvl w:ilvl="0">
      <w:start w:val="2"/>
      <w:numFmt w:val="decimal"/>
      <w:lvlText w:val="%1.0"/>
      <w:lvlJc w:val="left"/>
      <w:pPr>
        <w:ind w:left="405" w:hanging="405"/>
      </w:pPr>
      <w:rPr>
        <w:rFonts w:hint="default"/>
        <w:b/>
      </w:rPr>
    </w:lvl>
    <w:lvl w:ilvl="1">
      <w:start w:val="4"/>
      <w:numFmt w:val="decimal"/>
      <w:lvlText w:val="2.3%2"/>
      <w:lvlJc w:val="center"/>
      <w:pPr>
        <w:ind w:left="547"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2">
    <w:nsid w:val="7613116F"/>
    <w:multiLevelType w:val="hybridMultilevel"/>
    <w:tmpl w:val="8196F92E"/>
    <w:lvl w:ilvl="0" w:tplc="C53C4022">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6D4622B"/>
    <w:multiLevelType w:val="hybridMultilevel"/>
    <w:tmpl w:val="CE226CB6"/>
    <w:lvl w:ilvl="0" w:tplc="08090017">
      <w:start w:val="1"/>
      <w:numFmt w:val="lowerLetter"/>
      <w:lvlText w:val="%1)"/>
      <w:lvlJc w:val="left"/>
      <w:pPr>
        <w:ind w:left="1080" w:hanging="360"/>
      </w:pPr>
      <w:rPr>
        <w:rFonts w:hint="default"/>
        <w:b w:val="0"/>
        <w:sz w:val="24"/>
        <w:szCs w:val="24"/>
      </w:rPr>
    </w:lvl>
    <w:lvl w:ilvl="1" w:tplc="08090019">
      <w:start w:val="1"/>
      <w:numFmt w:val="lowerLetter"/>
      <w:lvlText w:val="%2."/>
      <w:lvlJc w:val="left"/>
      <w:pPr>
        <w:ind w:left="1734" w:hanging="360"/>
      </w:pPr>
    </w:lvl>
    <w:lvl w:ilvl="2" w:tplc="CF8A885E">
      <w:numFmt w:val="bullet"/>
      <w:lvlText w:val="•"/>
      <w:lvlJc w:val="left"/>
      <w:pPr>
        <w:ind w:left="3294" w:hanging="1020"/>
      </w:pPr>
      <w:rPr>
        <w:rFonts w:ascii="Arial" w:eastAsia="Times New Roman" w:hAnsi="Arial" w:cs="Arial" w:hint="default"/>
      </w:r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124">
    <w:nsid w:val="76FD1A34"/>
    <w:multiLevelType w:val="hybridMultilevel"/>
    <w:tmpl w:val="C8B8F962"/>
    <w:lvl w:ilvl="0" w:tplc="253834CC">
      <w:start w:val="3"/>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7781703A"/>
    <w:multiLevelType w:val="hybridMultilevel"/>
    <w:tmpl w:val="7324CE84"/>
    <w:lvl w:ilvl="0" w:tplc="2C38D10A">
      <w:start w:val="1"/>
      <w:numFmt w:val="decimal"/>
      <w:lvlText w:val="5.%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77BB0786"/>
    <w:multiLevelType w:val="multilevel"/>
    <w:tmpl w:val="BDB429C4"/>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7">
    <w:nsid w:val="77D87625"/>
    <w:multiLevelType w:val="hybridMultilevel"/>
    <w:tmpl w:val="5F524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8094ACA"/>
    <w:multiLevelType w:val="multilevel"/>
    <w:tmpl w:val="38E87DE6"/>
    <w:lvl w:ilvl="0">
      <w:start w:val="2"/>
      <w:numFmt w:val="none"/>
      <w:lvlText w:val="1.2"/>
      <w:lvlJc w:val="left"/>
      <w:pPr>
        <w:ind w:left="405" w:hanging="405"/>
      </w:pPr>
      <w:rPr>
        <w:rFonts w:hint="default"/>
        <w:b/>
      </w:rPr>
    </w:lvl>
    <w:lvl w:ilvl="1">
      <w:start w:val="2"/>
      <w:numFmt w:val="decimal"/>
      <w:lvlText w:val="1.%2"/>
      <w:lvlJc w:val="left"/>
      <w:pPr>
        <w:ind w:left="624" w:hanging="198"/>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9">
    <w:nsid w:val="7BB654A6"/>
    <w:multiLevelType w:val="hybridMultilevel"/>
    <w:tmpl w:val="2EEC958C"/>
    <w:lvl w:ilvl="0" w:tplc="5CC6B41A">
      <w:start w:val="9"/>
      <w:numFmt w:val="decimal"/>
      <w:lvlText w:val="2.6%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7C0111B9"/>
    <w:multiLevelType w:val="hybridMultilevel"/>
    <w:tmpl w:val="74B60750"/>
    <w:lvl w:ilvl="0" w:tplc="06CC1C2A">
      <w:start w:val="1"/>
      <w:numFmt w:val="decimal"/>
      <w:lvlText w:val="3.%1"/>
      <w:lvlJc w:val="left"/>
      <w:pPr>
        <w:ind w:left="928" w:hanging="360"/>
      </w:pPr>
      <w:rPr>
        <w:rFonts w:hint="default"/>
        <w:b w:val="0"/>
        <w:color w:val="000000" w:themeColor="text1"/>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1">
    <w:nsid w:val="7C18029B"/>
    <w:multiLevelType w:val="hybridMultilevel"/>
    <w:tmpl w:val="3612C07A"/>
    <w:lvl w:ilvl="0" w:tplc="4D123460">
      <w:start w:val="1"/>
      <w:numFmt w:val="decimal"/>
      <w:lvlText w:val="3.1%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2">
    <w:nsid w:val="7C552919"/>
    <w:multiLevelType w:val="hybridMultilevel"/>
    <w:tmpl w:val="B582CC2E"/>
    <w:lvl w:ilvl="0" w:tplc="1654D740">
      <w:start w:val="1"/>
      <w:numFmt w:val="decimal"/>
      <w:lvlText w:val="2.4%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3">
    <w:nsid w:val="7D8A6B42"/>
    <w:multiLevelType w:val="hybridMultilevel"/>
    <w:tmpl w:val="3B8A77E2"/>
    <w:lvl w:ilvl="0" w:tplc="A7E20840">
      <w:numFmt w:val="decimal"/>
      <w:lvlText w:val="2.7%1"/>
      <w:lvlJc w:val="center"/>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7E8B6D3E"/>
    <w:multiLevelType w:val="hybridMultilevel"/>
    <w:tmpl w:val="74AEA1B4"/>
    <w:lvl w:ilvl="0" w:tplc="9CD2B644">
      <w:start w:val="8"/>
      <w:numFmt w:val="decimal"/>
      <w:lvlText w:val="2.4%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EFC6E6A"/>
    <w:multiLevelType w:val="hybridMultilevel"/>
    <w:tmpl w:val="B4549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7F1F2041"/>
    <w:multiLevelType w:val="multilevel"/>
    <w:tmpl w:val="30B62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nsid w:val="7F635DBD"/>
    <w:multiLevelType w:val="multilevel"/>
    <w:tmpl w:val="3DEA897A"/>
    <w:lvl w:ilvl="0">
      <w:start w:val="2"/>
      <w:numFmt w:val="decimal"/>
      <w:lvlText w:val="%1"/>
      <w:lvlJc w:val="left"/>
      <w:pPr>
        <w:ind w:left="465" w:hanging="465"/>
      </w:pPr>
      <w:rPr>
        <w:rFonts w:hint="default"/>
      </w:rPr>
    </w:lvl>
    <w:lvl w:ilvl="1">
      <w:start w:val="5"/>
      <w:numFmt w:val="decimal"/>
      <w:lvlText w:val="2.5%2"/>
      <w:lvlJc w:val="center"/>
      <w:pPr>
        <w:ind w:left="749" w:hanging="46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num w:numId="1">
    <w:abstractNumId w:val="126"/>
  </w:num>
  <w:num w:numId="2">
    <w:abstractNumId w:val="123"/>
  </w:num>
  <w:num w:numId="3">
    <w:abstractNumId w:val="3"/>
  </w:num>
  <w:num w:numId="4">
    <w:abstractNumId w:val="128"/>
  </w:num>
  <w:num w:numId="5">
    <w:abstractNumId w:val="71"/>
  </w:num>
  <w:num w:numId="6">
    <w:abstractNumId w:val="34"/>
  </w:num>
  <w:num w:numId="7">
    <w:abstractNumId w:val="58"/>
  </w:num>
  <w:num w:numId="8">
    <w:abstractNumId w:val="2"/>
  </w:num>
  <w:num w:numId="9">
    <w:abstractNumId w:val="61"/>
  </w:num>
  <w:num w:numId="10">
    <w:abstractNumId w:val="28"/>
  </w:num>
  <w:num w:numId="11">
    <w:abstractNumId w:val="63"/>
  </w:num>
  <w:num w:numId="12">
    <w:abstractNumId w:val="10"/>
  </w:num>
  <w:num w:numId="13">
    <w:abstractNumId w:val="4"/>
  </w:num>
  <w:num w:numId="14">
    <w:abstractNumId w:val="51"/>
  </w:num>
  <w:num w:numId="15">
    <w:abstractNumId w:val="76"/>
  </w:num>
  <w:num w:numId="16">
    <w:abstractNumId w:val="54"/>
  </w:num>
  <w:num w:numId="17">
    <w:abstractNumId w:val="22"/>
  </w:num>
  <w:num w:numId="18">
    <w:abstractNumId w:val="116"/>
  </w:num>
  <w:num w:numId="19">
    <w:abstractNumId w:val="31"/>
  </w:num>
  <w:num w:numId="20">
    <w:abstractNumId w:val="127"/>
  </w:num>
  <w:num w:numId="21">
    <w:abstractNumId w:val="77"/>
  </w:num>
  <w:num w:numId="22">
    <w:abstractNumId w:val="6"/>
  </w:num>
  <w:num w:numId="23">
    <w:abstractNumId w:val="91"/>
  </w:num>
  <w:num w:numId="24">
    <w:abstractNumId w:val="96"/>
  </w:num>
  <w:num w:numId="25">
    <w:abstractNumId w:val="41"/>
  </w:num>
  <w:num w:numId="26">
    <w:abstractNumId w:val="79"/>
  </w:num>
  <w:num w:numId="27">
    <w:abstractNumId w:val="25"/>
  </w:num>
  <w:num w:numId="28">
    <w:abstractNumId w:val="70"/>
  </w:num>
  <w:num w:numId="29">
    <w:abstractNumId w:val="8"/>
  </w:num>
  <w:num w:numId="30">
    <w:abstractNumId w:val="130"/>
  </w:num>
  <w:num w:numId="31">
    <w:abstractNumId w:val="122"/>
  </w:num>
  <w:num w:numId="32">
    <w:abstractNumId w:val="124"/>
  </w:num>
  <w:num w:numId="33">
    <w:abstractNumId w:val="89"/>
  </w:num>
  <w:num w:numId="34">
    <w:abstractNumId w:val="64"/>
  </w:num>
  <w:num w:numId="35">
    <w:abstractNumId w:val="100"/>
  </w:num>
  <w:num w:numId="36">
    <w:abstractNumId w:val="52"/>
  </w:num>
  <w:num w:numId="37">
    <w:abstractNumId w:val="82"/>
  </w:num>
  <w:num w:numId="38">
    <w:abstractNumId w:val="19"/>
  </w:num>
  <w:num w:numId="39">
    <w:abstractNumId w:val="0"/>
  </w:num>
  <w:num w:numId="40">
    <w:abstractNumId w:val="117"/>
  </w:num>
  <w:num w:numId="41">
    <w:abstractNumId w:val="20"/>
  </w:num>
  <w:num w:numId="42">
    <w:abstractNumId w:val="66"/>
  </w:num>
  <w:num w:numId="43">
    <w:abstractNumId w:val="105"/>
  </w:num>
  <w:num w:numId="44">
    <w:abstractNumId w:val="103"/>
  </w:num>
  <w:num w:numId="45">
    <w:abstractNumId w:val="115"/>
  </w:num>
  <w:num w:numId="46">
    <w:abstractNumId w:val="107"/>
  </w:num>
  <w:num w:numId="47">
    <w:abstractNumId w:val="59"/>
  </w:num>
  <w:num w:numId="48">
    <w:abstractNumId w:val="16"/>
  </w:num>
  <w:num w:numId="49">
    <w:abstractNumId w:val="12"/>
  </w:num>
  <w:num w:numId="50">
    <w:abstractNumId w:val="95"/>
  </w:num>
  <w:num w:numId="51">
    <w:abstractNumId w:val="37"/>
  </w:num>
  <w:num w:numId="52">
    <w:abstractNumId w:val="111"/>
  </w:num>
  <w:num w:numId="53">
    <w:abstractNumId w:val="101"/>
  </w:num>
  <w:num w:numId="54">
    <w:abstractNumId w:val="21"/>
  </w:num>
  <w:num w:numId="55">
    <w:abstractNumId w:val="17"/>
  </w:num>
  <w:num w:numId="56">
    <w:abstractNumId w:val="81"/>
  </w:num>
  <w:num w:numId="57">
    <w:abstractNumId w:val="74"/>
  </w:num>
  <w:num w:numId="58">
    <w:abstractNumId w:val="18"/>
  </w:num>
  <w:num w:numId="59">
    <w:abstractNumId w:val="131"/>
  </w:num>
  <w:num w:numId="60">
    <w:abstractNumId w:val="55"/>
  </w:num>
  <w:num w:numId="61">
    <w:abstractNumId w:val="69"/>
  </w:num>
  <w:num w:numId="62">
    <w:abstractNumId w:val="57"/>
  </w:num>
  <w:num w:numId="63">
    <w:abstractNumId w:val="29"/>
  </w:num>
  <w:num w:numId="64">
    <w:abstractNumId w:val="118"/>
  </w:num>
  <w:num w:numId="65">
    <w:abstractNumId w:val="46"/>
  </w:num>
  <w:num w:numId="66">
    <w:abstractNumId w:val="7"/>
  </w:num>
  <w:num w:numId="67">
    <w:abstractNumId w:val="121"/>
  </w:num>
  <w:num w:numId="68">
    <w:abstractNumId w:val="132"/>
  </w:num>
  <w:num w:numId="69">
    <w:abstractNumId w:val="35"/>
  </w:num>
  <w:num w:numId="70">
    <w:abstractNumId w:val="48"/>
  </w:num>
  <w:num w:numId="71">
    <w:abstractNumId w:val="62"/>
  </w:num>
  <w:num w:numId="72">
    <w:abstractNumId w:val="108"/>
  </w:num>
  <w:num w:numId="73">
    <w:abstractNumId w:val="120"/>
  </w:num>
  <w:num w:numId="74">
    <w:abstractNumId w:val="65"/>
  </w:num>
  <w:num w:numId="75">
    <w:abstractNumId w:val="73"/>
  </w:num>
  <w:num w:numId="76">
    <w:abstractNumId w:val="11"/>
  </w:num>
  <w:num w:numId="77">
    <w:abstractNumId w:val="36"/>
  </w:num>
  <w:num w:numId="78">
    <w:abstractNumId w:val="44"/>
  </w:num>
  <w:num w:numId="79">
    <w:abstractNumId w:val="114"/>
  </w:num>
  <w:num w:numId="80">
    <w:abstractNumId w:val="99"/>
  </w:num>
  <w:num w:numId="81">
    <w:abstractNumId w:val="137"/>
  </w:num>
  <w:num w:numId="82">
    <w:abstractNumId w:val="93"/>
  </w:num>
  <w:num w:numId="83">
    <w:abstractNumId w:val="32"/>
  </w:num>
  <w:num w:numId="84">
    <w:abstractNumId w:val="113"/>
  </w:num>
  <w:num w:numId="85">
    <w:abstractNumId w:val="56"/>
  </w:num>
  <w:num w:numId="86">
    <w:abstractNumId w:val="49"/>
  </w:num>
  <w:num w:numId="87">
    <w:abstractNumId w:val="39"/>
  </w:num>
  <w:num w:numId="88">
    <w:abstractNumId w:val="135"/>
  </w:num>
  <w:num w:numId="89">
    <w:abstractNumId w:val="119"/>
  </w:num>
  <w:num w:numId="90">
    <w:abstractNumId w:val="27"/>
  </w:num>
  <w:num w:numId="91">
    <w:abstractNumId w:val="24"/>
  </w:num>
  <w:num w:numId="92">
    <w:abstractNumId w:val="33"/>
  </w:num>
  <w:num w:numId="93">
    <w:abstractNumId w:val="88"/>
  </w:num>
  <w:num w:numId="94">
    <w:abstractNumId w:val="30"/>
  </w:num>
  <w:num w:numId="95">
    <w:abstractNumId w:val="67"/>
  </w:num>
  <w:num w:numId="96">
    <w:abstractNumId w:val="106"/>
  </w:num>
  <w:num w:numId="97">
    <w:abstractNumId w:val="86"/>
  </w:num>
  <w:num w:numId="98">
    <w:abstractNumId w:val="72"/>
  </w:num>
  <w:num w:numId="99">
    <w:abstractNumId w:val="78"/>
  </w:num>
  <w:num w:numId="100">
    <w:abstractNumId w:val="53"/>
  </w:num>
  <w:num w:numId="101">
    <w:abstractNumId w:val="94"/>
  </w:num>
  <w:num w:numId="102">
    <w:abstractNumId w:val="104"/>
  </w:num>
  <w:num w:numId="103">
    <w:abstractNumId w:val="26"/>
  </w:num>
  <w:num w:numId="104">
    <w:abstractNumId w:val="75"/>
  </w:num>
  <w:num w:numId="105">
    <w:abstractNumId w:val="47"/>
  </w:num>
  <w:num w:numId="106">
    <w:abstractNumId w:val="45"/>
  </w:num>
  <w:num w:numId="107">
    <w:abstractNumId w:val="60"/>
  </w:num>
  <w:num w:numId="108">
    <w:abstractNumId w:val="9"/>
  </w:num>
  <w:num w:numId="109">
    <w:abstractNumId w:val="14"/>
  </w:num>
  <w:num w:numId="110">
    <w:abstractNumId w:val="102"/>
  </w:num>
  <w:num w:numId="111">
    <w:abstractNumId w:val="110"/>
  </w:num>
  <w:num w:numId="112">
    <w:abstractNumId w:val="112"/>
  </w:num>
  <w:num w:numId="113">
    <w:abstractNumId w:val="5"/>
  </w:num>
  <w:num w:numId="114">
    <w:abstractNumId w:val="97"/>
  </w:num>
  <w:num w:numId="115">
    <w:abstractNumId w:val="38"/>
  </w:num>
  <w:num w:numId="116">
    <w:abstractNumId w:val="87"/>
  </w:num>
  <w:num w:numId="117">
    <w:abstractNumId w:val="43"/>
  </w:num>
  <w:num w:numId="118">
    <w:abstractNumId w:val="1"/>
  </w:num>
  <w:num w:numId="119">
    <w:abstractNumId w:val="50"/>
  </w:num>
  <w:num w:numId="120">
    <w:abstractNumId w:val="80"/>
  </w:num>
  <w:num w:numId="121">
    <w:abstractNumId w:val="129"/>
  </w:num>
  <w:num w:numId="122">
    <w:abstractNumId w:val="134"/>
  </w:num>
  <w:num w:numId="123">
    <w:abstractNumId w:val="83"/>
  </w:num>
  <w:num w:numId="124">
    <w:abstractNumId w:val="15"/>
  </w:num>
  <w:num w:numId="125">
    <w:abstractNumId w:val="84"/>
  </w:num>
  <w:num w:numId="126">
    <w:abstractNumId w:val="133"/>
  </w:num>
  <w:num w:numId="127">
    <w:abstractNumId w:val="125"/>
  </w:num>
  <w:num w:numId="128">
    <w:abstractNumId w:val="92"/>
  </w:num>
  <w:num w:numId="129">
    <w:abstractNumId w:val="68"/>
  </w:num>
  <w:num w:numId="130">
    <w:abstractNumId w:val="90"/>
  </w:num>
  <w:num w:numId="131">
    <w:abstractNumId w:val="98"/>
  </w:num>
  <w:num w:numId="132">
    <w:abstractNumId w:val="40"/>
  </w:num>
  <w:num w:numId="133">
    <w:abstractNumId w:val="85"/>
  </w:num>
  <w:num w:numId="134">
    <w:abstractNumId w:val="42"/>
  </w:num>
  <w:num w:numId="135">
    <w:abstractNumId w:val="136"/>
  </w:num>
  <w:num w:numId="136">
    <w:abstractNumId w:val="13"/>
  </w:num>
  <w:num w:numId="137">
    <w:abstractNumId w:val="23"/>
  </w:num>
  <w:num w:numId="138">
    <w:abstractNumId w:val="10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8/06/2017 15:34"/>
  </w:docVars>
  <w:rsids>
    <w:rsidRoot w:val="00333FAA"/>
    <w:rsid w:val="0000089B"/>
    <w:rsid w:val="000013E8"/>
    <w:rsid w:val="00001D6F"/>
    <w:rsid w:val="00006F6F"/>
    <w:rsid w:val="00007814"/>
    <w:rsid w:val="00007960"/>
    <w:rsid w:val="000119C0"/>
    <w:rsid w:val="00011B67"/>
    <w:rsid w:val="0001210E"/>
    <w:rsid w:val="00012B11"/>
    <w:rsid w:val="000131B9"/>
    <w:rsid w:val="00014135"/>
    <w:rsid w:val="00015265"/>
    <w:rsid w:val="000163EE"/>
    <w:rsid w:val="00017C91"/>
    <w:rsid w:val="000213E3"/>
    <w:rsid w:val="000217BC"/>
    <w:rsid w:val="0002225B"/>
    <w:rsid w:val="00022436"/>
    <w:rsid w:val="0002252A"/>
    <w:rsid w:val="00022EDA"/>
    <w:rsid w:val="0002314A"/>
    <w:rsid w:val="00025ABE"/>
    <w:rsid w:val="00027425"/>
    <w:rsid w:val="0002799D"/>
    <w:rsid w:val="00030F86"/>
    <w:rsid w:val="00031795"/>
    <w:rsid w:val="00031C5C"/>
    <w:rsid w:val="00031FCC"/>
    <w:rsid w:val="0003318A"/>
    <w:rsid w:val="000370A6"/>
    <w:rsid w:val="00037475"/>
    <w:rsid w:val="00037BE0"/>
    <w:rsid w:val="0004029A"/>
    <w:rsid w:val="00040E4D"/>
    <w:rsid w:val="00042683"/>
    <w:rsid w:val="00042CD9"/>
    <w:rsid w:val="0004310D"/>
    <w:rsid w:val="00043F86"/>
    <w:rsid w:val="000445EC"/>
    <w:rsid w:val="00045FE8"/>
    <w:rsid w:val="00052222"/>
    <w:rsid w:val="00052558"/>
    <w:rsid w:val="00053B97"/>
    <w:rsid w:val="00053BAD"/>
    <w:rsid w:val="000555AB"/>
    <w:rsid w:val="00057CF2"/>
    <w:rsid w:val="0006034E"/>
    <w:rsid w:val="00060C44"/>
    <w:rsid w:val="000618FC"/>
    <w:rsid w:val="00061D7A"/>
    <w:rsid w:val="00061DF9"/>
    <w:rsid w:val="000621FA"/>
    <w:rsid w:val="00063078"/>
    <w:rsid w:val="00063783"/>
    <w:rsid w:val="00064800"/>
    <w:rsid w:val="000652E0"/>
    <w:rsid w:val="0006617F"/>
    <w:rsid w:val="0006687D"/>
    <w:rsid w:val="0006759A"/>
    <w:rsid w:val="000713BD"/>
    <w:rsid w:val="00072547"/>
    <w:rsid w:val="00072FA7"/>
    <w:rsid w:val="00073193"/>
    <w:rsid w:val="00073765"/>
    <w:rsid w:val="00073B44"/>
    <w:rsid w:val="00074137"/>
    <w:rsid w:val="000743C7"/>
    <w:rsid w:val="00076343"/>
    <w:rsid w:val="000773A9"/>
    <w:rsid w:val="000812B3"/>
    <w:rsid w:val="000817DC"/>
    <w:rsid w:val="000839D1"/>
    <w:rsid w:val="0008415C"/>
    <w:rsid w:val="000874FD"/>
    <w:rsid w:val="00090038"/>
    <w:rsid w:val="00090086"/>
    <w:rsid w:val="00090F94"/>
    <w:rsid w:val="00091897"/>
    <w:rsid w:val="00091950"/>
    <w:rsid w:val="0009207E"/>
    <w:rsid w:val="000937DA"/>
    <w:rsid w:val="00094439"/>
    <w:rsid w:val="00094E7B"/>
    <w:rsid w:val="00094E90"/>
    <w:rsid w:val="00095755"/>
    <w:rsid w:val="00095A1A"/>
    <w:rsid w:val="00097294"/>
    <w:rsid w:val="00097587"/>
    <w:rsid w:val="000A0B39"/>
    <w:rsid w:val="000A0D08"/>
    <w:rsid w:val="000A1597"/>
    <w:rsid w:val="000A1EAF"/>
    <w:rsid w:val="000A32C8"/>
    <w:rsid w:val="000A4437"/>
    <w:rsid w:val="000A47D1"/>
    <w:rsid w:val="000A5229"/>
    <w:rsid w:val="000A63BB"/>
    <w:rsid w:val="000A7F0F"/>
    <w:rsid w:val="000B0B9B"/>
    <w:rsid w:val="000B1112"/>
    <w:rsid w:val="000B20C5"/>
    <w:rsid w:val="000B215B"/>
    <w:rsid w:val="000B334B"/>
    <w:rsid w:val="000B5FC8"/>
    <w:rsid w:val="000B6B81"/>
    <w:rsid w:val="000B71CE"/>
    <w:rsid w:val="000B788F"/>
    <w:rsid w:val="000C088B"/>
    <w:rsid w:val="000C11F1"/>
    <w:rsid w:val="000C15BE"/>
    <w:rsid w:val="000C1A07"/>
    <w:rsid w:val="000C4E78"/>
    <w:rsid w:val="000C7D67"/>
    <w:rsid w:val="000D325B"/>
    <w:rsid w:val="000D39D4"/>
    <w:rsid w:val="000D3AF9"/>
    <w:rsid w:val="000D4392"/>
    <w:rsid w:val="000D5959"/>
    <w:rsid w:val="000D5E55"/>
    <w:rsid w:val="000E14A4"/>
    <w:rsid w:val="000E5E42"/>
    <w:rsid w:val="000E70F4"/>
    <w:rsid w:val="000F0252"/>
    <w:rsid w:val="000F0621"/>
    <w:rsid w:val="000F145C"/>
    <w:rsid w:val="000F1625"/>
    <w:rsid w:val="000F2ACA"/>
    <w:rsid w:val="000F3F11"/>
    <w:rsid w:val="000F57E6"/>
    <w:rsid w:val="000F5D6F"/>
    <w:rsid w:val="000F6E2C"/>
    <w:rsid w:val="000F7A5A"/>
    <w:rsid w:val="000F7B80"/>
    <w:rsid w:val="0010349E"/>
    <w:rsid w:val="00103C57"/>
    <w:rsid w:val="00103D6D"/>
    <w:rsid w:val="00105119"/>
    <w:rsid w:val="001058A6"/>
    <w:rsid w:val="00107852"/>
    <w:rsid w:val="00107AED"/>
    <w:rsid w:val="001101EE"/>
    <w:rsid w:val="001122DA"/>
    <w:rsid w:val="00112721"/>
    <w:rsid w:val="00113AD3"/>
    <w:rsid w:val="00113B0F"/>
    <w:rsid w:val="0011499A"/>
    <w:rsid w:val="001161E4"/>
    <w:rsid w:val="00116D84"/>
    <w:rsid w:val="00116FF4"/>
    <w:rsid w:val="0011741A"/>
    <w:rsid w:val="00123FE5"/>
    <w:rsid w:val="001248DE"/>
    <w:rsid w:val="00125A0A"/>
    <w:rsid w:val="00125A26"/>
    <w:rsid w:val="00127264"/>
    <w:rsid w:val="001305E1"/>
    <w:rsid w:val="00131454"/>
    <w:rsid w:val="00132BD9"/>
    <w:rsid w:val="0013304F"/>
    <w:rsid w:val="001347B9"/>
    <w:rsid w:val="00136732"/>
    <w:rsid w:val="001374CB"/>
    <w:rsid w:val="00140391"/>
    <w:rsid w:val="00142D08"/>
    <w:rsid w:val="001446AF"/>
    <w:rsid w:val="00144C1D"/>
    <w:rsid w:val="00145163"/>
    <w:rsid w:val="0014523E"/>
    <w:rsid w:val="00146A7B"/>
    <w:rsid w:val="0014760B"/>
    <w:rsid w:val="00150782"/>
    <w:rsid w:val="00152955"/>
    <w:rsid w:val="00153933"/>
    <w:rsid w:val="0015627A"/>
    <w:rsid w:val="00156281"/>
    <w:rsid w:val="00156B7C"/>
    <w:rsid w:val="00156F1D"/>
    <w:rsid w:val="001617BD"/>
    <w:rsid w:val="0016463C"/>
    <w:rsid w:val="00164CC6"/>
    <w:rsid w:val="001660CB"/>
    <w:rsid w:val="00170682"/>
    <w:rsid w:val="0017148A"/>
    <w:rsid w:val="001729E4"/>
    <w:rsid w:val="001737AD"/>
    <w:rsid w:val="00173DA5"/>
    <w:rsid w:val="001757AA"/>
    <w:rsid w:val="00175B00"/>
    <w:rsid w:val="00175BF2"/>
    <w:rsid w:val="00177F95"/>
    <w:rsid w:val="00181E66"/>
    <w:rsid w:val="00182EFE"/>
    <w:rsid w:val="00182F02"/>
    <w:rsid w:val="00183402"/>
    <w:rsid w:val="00183D33"/>
    <w:rsid w:val="001840D2"/>
    <w:rsid w:val="00184D1F"/>
    <w:rsid w:val="001854AD"/>
    <w:rsid w:val="0018560B"/>
    <w:rsid w:val="001902EE"/>
    <w:rsid w:val="0019085B"/>
    <w:rsid w:val="00191541"/>
    <w:rsid w:val="00191901"/>
    <w:rsid w:val="00191C4D"/>
    <w:rsid w:val="001926C5"/>
    <w:rsid w:val="00193934"/>
    <w:rsid w:val="00195BF8"/>
    <w:rsid w:val="001966D7"/>
    <w:rsid w:val="001A2C9A"/>
    <w:rsid w:val="001A2F69"/>
    <w:rsid w:val="001A637F"/>
    <w:rsid w:val="001A7F3D"/>
    <w:rsid w:val="001B10B1"/>
    <w:rsid w:val="001B18EA"/>
    <w:rsid w:val="001B2510"/>
    <w:rsid w:val="001B35A1"/>
    <w:rsid w:val="001B5724"/>
    <w:rsid w:val="001B7156"/>
    <w:rsid w:val="001C12CD"/>
    <w:rsid w:val="001C2322"/>
    <w:rsid w:val="001C327B"/>
    <w:rsid w:val="001C41F0"/>
    <w:rsid w:val="001C46E8"/>
    <w:rsid w:val="001C4D2E"/>
    <w:rsid w:val="001C6088"/>
    <w:rsid w:val="001C64C0"/>
    <w:rsid w:val="001C704C"/>
    <w:rsid w:val="001C7E35"/>
    <w:rsid w:val="001D3FF3"/>
    <w:rsid w:val="001D4F7A"/>
    <w:rsid w:val="001D63F7"/>
    <w:rsid w:val="001E03A9"/>
    <w:rsid w:val="001E2C27"/>
    <w:rsid w:val="001E2D71"/>
    <w:rsid w:val="001E3C06"/>
    <w:rsid w:val="001E3FB6"/>
    <w:rsid w:val="001E4B42"/>
    <w:rsid w:val="001E726C"/>
    <w:rsid w:val="001E7B76"/>
    <w:rsid w:val="001F0054"/>
    <w:rsid w:val="001F0BE9"/>
    <w:rsid w:val="001F1E67"/>
    <w:rsid w:val="001F3203"/>
    <w:rsid w:val="001F5154"/>
    <w:rsid w:val="001F6159"/>
    <w:rsid w:val="001F66A0"/>
    <w:rsid w:val="001F6A05"/>
    <w:rsid w:val="001F7C04"/>
    <w:rsid w:val="00202B1C"/>
    <w:rsid w:val="00202D79"/>
    <w:rsid w:val="00204E5F"/>
    <w:rsid w:val="00205D2F"/>
    <w:rsid w:val="00206183"/>
    <w:rsid w:val="002066FD"/>
    <w:rsid w:val="0020754A"/>
    <w:rsid w:val="00207F48"/>
    <w:rsid w:val="002102D9"/>
    <w:rsid w:val="0021139A"/>
    <w:rsid w:val="0021334B"/>
    <w:rsid w:val="00214C87"/>
    <w:rsid w:val="00215E8F"/>
    <w:rsid w:val="00215FF0"/>
    <w:rsid w:val="0021608E"/>
    <w:rsid w:val="0021777C"/>
    <w:rsid w:val="00220F2C"/>
    <w:rsid w:val="00221287"/>
    <w:rsid w:val="00221EBE"/>
    <w:rsid w:val="00222566"/>
    <w:rsid w:val="00222641"/>
    <w:rsid w:val="00223526"/>
    <w:rsid w:val="00226873"/>
    <w:rsid w:val="0022766E"/>
    <w:rsid w:val="002310F3"/>
    <w:rsid w:val="002311FF"/>
    <w:rsid w:val="00232636"/>
    <w:rsid w:val="00235588"/>
    <w:rsid w:val="00235888"/>
    <w:rsid w:val="002410B2"/>
    <w:rsid w:val="00245948"/>
    <w:rsid w:val="002460D0"/>
    <w:rsid w:val="00247CA6"/>
    <w:rsid w:val="00250C20"/>
    <w:rsid w:val="00252876"/>
    <w:rsid w:val="00252E7B"/>
    <w:rsid w:val="00253201"/>
    <w:rsid w:val="002541E5"/>
    <w:rsid w:val="002548D1"/>
    <w:rsid w:val="002600E9"/>
    <w:rsid w:val="0026172D"/>
    <w:rsid w:val="00261BEE"/>
    <w:rsid w:val="00262389"/>
    <w:rsid w:val="0026276E"/>
    <w:rsid w:val="0026300A"/>
    <w:rsid w:val="0026369E"/>
    <w:rsid w:val="0026742C"/>
    <w:rsid w:val="002700B2"/>
    <w:rsid w:val="00270959"/>
    <w:rsid w:val="002723EE"/>
    <w:rsid w:val="00272BA1"/>
    <w:rsid w:val="002738A7"/>
    <w:rsid w:val="00273E4F"/>
    <w:rsid w:val="00274195"/>
    <w:rsid w:val="00274560"/>
    <w:rsid w:val="00275339"/>
    <w:rsid w:val="00277490"/>
    <w:rsid w:val="002774F4"/>
    <w:rsid w:val="00277F3C"/>
    <w:rsid w:val="0028019B"/>
    <w:rsid w:val="002801FA"/>
    <w:rsid w:val="002807EE"/>
    <w:rsid w:val="00282502"/>
    <w:rsid w:val="0028316A"/>
    <w:rsid w:val="00287B24"/>
    <w:rsid w:val="0029065A"/>
    <w:rsid w:val="00290F93"/>
    <w:rsid w:val="0029131B"/>
    <w:rsid w:val="00292687"/>
    <w:rsid w:val="00292A6D"/>
    <w:rsid w:val="0029474D"/>
    <w:rsid w:val="002962D7"/>
    <w:rsid w:val="002A03E0"/>
    <w:rsid w:val="002A05F4"/>
    <w:rsid w:val="002A07BC"/>
    <w:rsid w:val="002A18D7"/>
    <w:rsid w:val="002A2594"/>
    <w:rsid w:val="002A27C0"/>
    <w:rsid w:val="002A2E47"/>
    <w:rsid w:val="002A3389"/>
    <w:rsid w:val="002A6274"/>
    <w:rsid w:val="002B11DD"/>
    <w:rsid w:val="002B29B6"/>
    <w:rsid w:val="002B2CBE"/>
    <w:rsid w:val="002B2F92"/>
    <w:rsid w:val="002B3BD9"/>
    <w:rsid w:val="002B53D9"/>
    <w:rsid w:val="002B54A6"/>
    <w:rsid w:val="002B55CB"/>
    <w:rsid w:val="002B6ADB"/>
    <w:rsid w:val="002B767B"/>
    <w:rsid w:val="002B7B42"/>
    <w:rsid w:val="002C05D1"/>
    <w:rsid w:val="002C1AC5"/>
    <w:rsid w:val="002C2BF0"/>
    <w:rsid w:val="002C36A3"/>
    <w:rsid w:val="002C3ACF"/>
    <w:rsid w:val="002C3AEC"/>
    <w:rsid w:val="002C4256"/>
    <w:rsid w:val="002C463F"/>
    <w:rsid w:val="002C50A2"/>
    <w:rsid w:val="002C5A31"/>
    <w:rsid w:val="002C66C9"/>
    <w:rsid w:val="002C672F"/>
    <w:rsid w:val="002C67F2"/>
    <w:rsid w:val="002D1517"/>
    <w:rsid w:val="002D26F8"/>
    <w:rsid w:val="002D407C"/>
    <w:rsid w:val="002D6CE2"/>
    <w:rsid w:val="002D7C60"/>
    <w:rsid w:val="002E02D3"/>
    <w:rsid w:val="002E14DC"/>
    <w:rsid w:val="002E2CEA"/>
    <w:rsid w:val="002E4BE3"/>
    <w:rsid w:val="002E5AF5"/>
    <w:rsid w:val="002E7F35"/>
    <w:rsid w:val="002F019A"/>
    <w:rsid w:val="002F3BA1"/>
    <w:rsid w:val="002F3EE9"/>
    <w:rsid w:val="002F46B7"/>
    <w:rsid w:val="002F6A03"/>
    <w:rsid w:val="002F7896"/>
    <w:rsid w:val="002F7D59"/>
    <w:rsid w:val="0030045F"/>
    <w:rsid w:val="00300486"/>
    <w:rsid w:val="0030198F"/>
    <w:rsid w:val="00302CD3"/>
    <w:rsid w:val="0031019C"/>
    <w:rsid w:val="00310519"/>
    <w:rsid w:val="0031185B"/>
    <w:rsid w:val="003158E5"/>
    <w:rsid w:val="0031658B"/>
    <w:rsid w:val="00316858"/>
    <w:rsid w:val="00317119"/>
    <w:rsid w:val="003171B9"/>
    <w:rsid w:val="00317314"/>
    <w:rsid w:val="00321915"/>
    <w:rsid w:val="0032259C"/>
    <w:rsid w:val="00322879"/>
    <w:rsid w:val="00323377"/>
    <w:rsid w:val="0032360F"/>
    <w:rsid w:val="0032395C"/>
    <w:rsid w:val="0032550B"/>
    <w:rsid w:val="00326163"/>
    <w:rsid w:val="00326721"/>
    <w:rsid w:val="003311B8"/>
    <w:rsid w:val="0033256D"/>
    <w:rsid w:val="003338E7"/>
    <w:rsid w:val="00333BD7"/>
    <w:rsid w:val="00333FAA"/>
    <w:rsid w:val="003355D7"/>
    <w:rsid w:val="00337B3A"/>
    <w:rsid w:val="003410B7"/>
    <w:rsid w:val="0034597F"/>
    <w:rsid w:val="00347593"/>
    <w:rsid w:val="00350F07"/>
    <w:rsid w:val="00351735"/>
    <w:rsid w:val="00352721"/>
    <w:rsid w:val="0035272C"/>
    <w:rsid w:val="003532CD"/>
    <w:rsid w:val="00354BAA"/>
    <w:rsid w:val="0036036E"/>
    <w:rsid w:val="003612D5"/>
    <w:rsid w:val="00361B43"/>
    <w:rsid w:val="0036201C"/>
    <w:rsid w:val="0036285A"/>
    <w:rsid w:val="00363AAE"/>
    <w:rsid w:val="00364570"/>
    <w:rsid w:val="003728EE"/>
    <w:rsid w:val="003732F4"/>
    <w:rsid w:val="00373FD7"/>
    <w:rsid w:val="00374868"/>
    <w:rsid w:val="00374CD5"/>
    <w:rsid w:val="00374CD9"/>
    <w:rsid w:val="00375004"/>
    <w:rsid w:val="003767A0"/>
    <w:rsid w:val="003773AF"/>
    <w:rsid w:val="003800E7"/>
    <w:rsid w:val="00381232"/>
    <w:rsid w:val="00381603"/>
    <w:rsid w:val="00385924"/>
    <w:rsid w:val="00385FB2"/>
    <w:rsid w:val="00386BF3"/>
    <w:rsid w:val="00386D8F"/>
    <w:rsid w:val="00387615"/>
    <w:rsid w:val="00391685"/>
    <w:rsid w:val="0039230A"/>
    <w:rsid w:val="0039329E"/>
    <w:rsid w:val="0039347D"/>
    <w:rsid w:val="00395F18"/>
    <w:rsid w:val="00396067"/>
    <w:rsid w:val="0039654F"/>
    <w:rsid w:val="003A1CD0"/>
    <w:rsid w:val="003A268B"/>
    <w:rsid w:val="003A32C2"/>
    <w:rsid w:val="003A3B33"/>
    <w:rsid w:val="003A42A0"/>
    <w:rsid w:val="003A4F2F"/>
    <w:rsid w:val="003A7C33"/>
    <w:rsid w:val="003B0715"/>
    <w:rsid w:val="003B0945"/>
    <w:rsid w:val="003B20DC"/>
    <w:rsid w:val="003B39DA"/>
    <w:rsid w:val="003B4D84"/>
    <w:rsid w:val="003B7564"/>
    <w:rsid w:val="003B7581"/>
    <w:rsid w:val="003B7934"/>
    <w:rsid w:val="003B7AF8"/>
    <w:rsid w:val="003C0274"/>
    <w:rsid w:val="003C0668"/>
    <w:rsid w:val="003C0934"/>
    <w:rsid w:val="003C0F6E"/>
    <w:rsid w:val="003C2B48"/>
    <w:rsid w:val="003C2EB7"/>
    <w:rsid w:val="003C379B"/>
    <w:rsid w:val="003C565A"/>
    <w:rsid w:val="003C6803"/>
    <w:rsid w:val="003D2CC8"/>
    <w:rsid w:val="003D3BE2"/>
    <w:rsid w:val="003D460D"/>
    <w:rsid w:val="003D482A"/>
    <w:rsid w:val="003D61E1"/>
    <w:rsid w:val="003D6C5E"/>
    <w:rsid w:val="003D73B6"/>
    <w:rsid w:val="003E0B7C"/>
    <w:rsid w:val="003E0DBB"/>
    <w:rsid w:val="003E3991"/>
    <w:rsid w:val="003E3DD7"/>
    <w:rsid w:val="003E4312"/>
    <w:rsid w:val="003E4584"/>
    <w:rsid w:val="003E5B92"/>
    <w:rsid w:val="003E5D77"/>
    <w:rsid w:val="003E679C"/>
    <w:rsid w:val="003E6EAA"/>
    <w:rsid w:val="003F0DB6"/>
    <w:rsid w:val="003F2D68"/>
    <w:rsid w:val="003F47B4"/>
    <w:rsid w:val="003F5751"/>
    <w:rsid w:val="003F58EF"/>
    <w:rsid w:val="003F5E2F"/>
    <w:rsid w:val="003F6C22"/>
    <w:rsid w:val="00401444"/>
    <w:rsid w:val="004032B3"/>
    <w:rsid w:val="004034F2"/>
    <w:rsid w:val="00403666"/>
    <w:rsid w:val="004039DE"/>
    <w:rsid w:val="0040415A"/>
    <w:rsid w:val="004049E4"/>
    <w:rsid w:val="00404B4F"/>
    <w:rsid w:val="00404FAB"/>
    <w:rsid w:val="004076C8"/>
    <w:rsid w:val="0041077E"/>
    <w:rsid w:val="00410E11"/>
    <w:rsid w:val="00410EE1"/>
    <w:rsid w:val="004113D1"/>
    <w:rsid w:val="00411ADC"/>
    <w:rsid w:val="004122E8"/>
    <w:rsid w:val="0041380A"/>
    <w:rsid w:val="004162A2"/>
    <w:rsid w:val="00416FB3"/>
    <w:rsid w:val="00417C41"/>
    <w:rsid w:val="00420DE1"/>
    <w:rsid w:val="00421A4C"/>
    <w:rsid w:val="00422246"/>
    <w:rsid w:val="0042378A"/>
    <w:rsid w:val="00423E1E"/>
    <w:rsid w:val="0042411C"/>
    <w:rsid w:val="00424E6A"/>
    <w:rsid w:val="00431404"/>
    <w:rsid w:val="004333E4"/>
    <w:rsid w:val="004363F7"/>
    <w:rsid w:val="00440125"/>
    <w:rsid w:val="00440EBF"/>
    <w:rsid w:val="00442041"/>
    <w:rsid w:val="00442337"/>
    <w:rsid w:val="0044386A"/>
    <w:rsid w:val="00444185"/>
    <w:rsid w:val="00445321"/>
    <w:rsid w:val="004507BE"/>
    <w:rsid w:val="00450B60"/>
    <w:rsid w:val="004528FB"/>
    <w:rsid w:val="00453541"/>
    <w:rsid w:val="00453988"/>
    <w:rsid w:val="00455115"/>
    <w:rsid w:val="004566B3"/>
    <w:rsid w:val="004577FE"/>
    <w:rsid w:val="0046177B"/>
    <w:rsid w:val="00462020"/>
    <w:rsid w:val="0046460C"/>
    <w:rsid w:val="00470D2D"/>
    <w:rsid w:val="00471C1F"/>
    <w:rsid w:val="00474414"/>
    <w:rsid w:val="004751D8"/>
    <w:rsid w:val="004821B5"/>
    <w:rsid w:val="00482D50"/>
    <w:rsid w:val="004848F3"/>
    <w:rsid w:val="00484944"/>
    <w:rsid w:val="00485B91"/>
    <w:rsid w:val="0048704A"/>
    <w:rsid w:val="00487842"/>
    <w:rsid w:val="004902A6"/>
    <w:rsid w:val="0049066C"/>
    <w:rsid w:val="004922C6"/>
    <w:rsid w:val="004926C1"/>
    <w:rsid w:val="00493E11"/>
    <w:rsid w:val="00494AF7"/>
    <w:rsid w:val="00495F2D"/>
    <w:rsid w:val="004A24EE"/>
    <w:rsid w:val="004A2B66"/>
    <w:rsid w:val="004A3953"/>
    <w:rsid w:val="004A3AE4"/>
    <w:rsid w:val="004A47D9"/>
    <w:rsid w:val="004A52E8"/>
    <w:rsid w:val="004A637C"/>
    <w:rsid w:val="004B0A7B"/>
    <w:rsid w:val="004B1F90"/>
    <w:rsid w:val="004B3306"/>
    <w:rsid w:val="004C134F"/>
    <w:rsid w:val="004C3758"/>
    <w:rsid w:val="004C448D"/>
    <w:rsid w:val="004C4B5E"/>
    <w:rsid w:val="004C5118"/>
    <w:rsid w:val="004C54F6"/>
    <w:rsid w:val="004C6220"/>
    <w:rsid w:val="004C6495"/>
    <w:rsid w:val="004C6B6C"/>
    <w:rsid w:val="004D2DA0"/>
    <w:rsid w:val="004D382E"/>
    <w:rsid w:val="004D4468"/>
    <w:rsid w:val="004D572C"/>
    <w:rsid w:val="004D6EBB"/>
    <w:rsid w:val="004E14A4"/>
    <w:rsid w:val="004E52B3"/>
    <w:rsid w:val="004E65F1"/>
    <w:rsid w:val="004E7C68"/>
    <w:rsid w:val="004F00BD"/>
    <w:rsid w:val="004F1DED"/>
    <w:rsid w:val="004F46E4"/>
    <w:rsid w:val="004F496B"/>
    <w:rsid w:val="004F4E88"/>
    <w:rsid w:val="004F7602"/>
    <w:rsid w:val="00500764"/>
    <w:rsid w:val="00502B69"/>
    <w:rsid w:val="005031DE"/>
    <w:rsid w:val="00503705"/>
    <w:rsid w:val="00503DD6"/>
    <w:rsid w:val="005063FB"/>
    <w:rsid w:val="00513881"/>
    <w:rsid w:val="00515238"/>
    <w:rsid w:val="005155C8"/>
    <w:rsid w:val="00515A03"/>
    <w:rsid w:val="00515CBD"/>
    <w:rsid w:val="005163C5"/>
    <w:rsid w:val="00516F96"/>
    <w:rsid w:val="0052025C"/>
    <w:rsid w:val="0052035E"/>
    <w:rsid w:val="00520D2A"/>
    <w:rsid w:val="00521915"/>
    <w:rsid w:val="005248B1"/>
    <w:rsid w:val="00525353"/>
    <w:rsid w:val="005255D6"/>
    <w:rsid w:val="00525D83"/>
    <w:rsid w:val="00525E8F"/>
    <w:rsid w:val="005300D0"/>
    <w:rsid w:val="00530439"/>
    <w:rsid w:val="005308D0"/>
    <w:rsid w:val="00530E7B"/>
    <w:rsid w:val="00530EFA"/>
    <w:rsid w:val="00530FB2"/>
    <w:rsid w:val="00531BC8"/>
    <w:rsid w:val="005330B4"/>
    <w:rsid w:val="00533EC2"/>
    <w:rsid w:val="00534686"/>
    <w:rsid w:val="005350A2"/>
    <w:rsid w:val="005354D0"/>
    <w:rsid w:val="005359A0"/>
    <w:rsid w:val="0053638B"/>
    <w:rsid w:val="005363E4"/>
    <w:rsid w:val="0053726E"/>
    <w:rsid w:val="0053760A"/>
    <w:rsid w:val="005378F7"/>
    <w:rsid w:val="00537F3C"/>
    <w:rsid w:val="00543AB2"/>
    <w:rsid w:val="00544298"/>
    <w:rsid w:val="00544CAD"/>
    <w:rsid w:val="0054527B"/>
    <w:rsid w:val="0054590F"/>
    <w:rsid w:val="00546FB8"/>
    <w:rsid w:val="00547BB2"/>
    <w:rsid w:val="00550458"/>
    <w:rsid w:val="005534E4"/>
    <w:rsid w:val="00553BE5"/>
    <w:rsid w:val="00556480"/>
    <w:rsid w:val="00556CC9"/>
    <w:rsid w:val="00560CCD"/>
    <w:rsid w:val="00561EE2"/>
    <w:rsid w:val="00562CC6"/>
    <w:rsid w:val="0056353C"/>
    <w:rsid w:val="00563CDA"/>
    <w:rsid w:val="00564FB0"/>
    <w:rsid w:val="00565B27"/>
    <w:rsid w:val="00565E95"/>
    <w:rsid w:val="00565FBC"/>
    <w:rsid w:val="005661F5"/>
    <w:rsid w:val="005663CF"/>
    <w:rsid w:val="0056672E"/>
    <w:rsid w:val="00570826"/>
    <w:rsid w:val="005718B5"/>
    <w:rsid w:val="00571B53"/>
    <w:rsid w:val="00575DA1"/>
    <w:rsid w:val="00576746"/>
    <w:rsid w:val="00577A02"/>
    <w:rsid w:val="0058051B"/>
    <w:rsid w:val="005808FB"/>
    <w:rsid w:val="005813FE"/>
    <w:rsid w:val="00586F20"/>
    <w:rsid w:val="00587B0D"/>
    <w:rsid w:val="0059016D"/>
    <w:rsid w:val="005918B7"/>
    <w:rsid w:val="005922D5"/>
    <w:rsid w:val="0059320F"/>
    <w:rsid w:val="00594CCD"/>
    <w:rsid w:val="00595104"/>
    <w:rsid w:val="00596736"/>
    <w:rsid w:val="005A0162"/>
    <w:rsid w:val="005A04AE"/>
    <w:rsid w:val="005A34DF"/>
    <w:rsid w:val="005A522D"/>
    <w:rsid w:val="005A6DF0"/>
    <w:rsid w:val="005B13A9"/>
    <w:rsid w:val="005B1AE1"/>
    <w:rsid w:val="005B2EE6"/>
    <w:rsid w:val="005B3F67"/>
    <w:rsid w:val="005B4870"/>
    <w:rsid w:val="005B60FD"/>
    <w:rsid w:val="005B66B6"/>
    <w:rsid w:val="005B671D"/>
    <w:rsid w:val="005B78F9"/>
    <w:rsid w:val="005C03A0"/>
    <w:rsid w:val="005C1136"/>
    <w:rsid w:val="005C1DC0"/>
    <w:rsid w:val="005C30AC"/>
    <w:rsid w:val="005C3964"/>
    <w:rsid w:val="005C4733"/>
    <w:rsid w:val="005C4CB8"/>
    <w:rsid w:val="005C4DBD"/>
    <w:rsid w:val="005C52F5"/>
    <w:rsid w:val="005D0C5B"/>
    <w:rsid w:val="005D1119"/>
    <w:rsid w:val="005D14A7"/>
    <w:rsid w:val="005D31BF"/>
    <w:rsid w:val="005D3F8B"/>
    <w:rsid w:val="005D5AF0"/>
    <w:rsid w:val="005D6157"/>
    <w:rsid w:val="005D6791"/>
    <w:rsid w:val="005D6EF5"/>
    <w:rsid w:val="005D7C56"/>
    <w:rsid w:val="005E0018"/>
    <w:rsid w:val="005E002A"/>
    <w:rsid w:val="005E0AD9"/>
    <w:rsid w:val="005E0EC3"/>
    <w:rsid w:val="005E3A10"/>
    <w:rsid w:val="005E40A0"/>
    <w:rsid w:val="005E426A"/>
    <w:rsid w:val="005E44E4"/>
    <w:rsid w:val="005E4674"/>
    <w:rsid w:val="005E4706"/>
    <w:rsid w:val="005E5522"/>
    <w:rsid w:val="005E553E"/>
    <w:rsid w:val="005E6295"/>
    <w:rsid w:val="005E7509"/>
    <w:rsid w:val="005E76F9"/>
    <w:rsid w:val="005F3067"/>
    <w:rsid w:val="005F30E5"/>
    <w:rsid w:val="005F3293"/>
    <w:rsid w:val="005F3757"/>
    <w:rsid w:val="005F5F06"/>
    <w:rsid w:val="005F6817"/>
    <w:rsid w:val="00600637"/>
    <w:rsid w:val="0060097C"/>
    <w:rsid w:val="00603642"/>
    <w:rsid w:val="00603DCC"/>
    <w:rsid w:val="00605943"/>
    <w:rsid w:val="006069BA"/>
    <w:rsid w:val="0061014B"/>
    <w:rsid w:val="006107B2"/>
    <w:rsid w:val="00611E90"/>
    <w:rsid w:val="00612BC3"/>
    <w:rsid w:val="00613368"/>
    <w:rsid w:val="00615AE4"/>
    <w:rsid w:val="00617488"/>
    <w:rsid w:val="0062007D"/>
    <w:rsid w:val="006222A2"/>
    <w:rsid w:val="00623A99"/>
    <w:rsid w:val="00623CF8"/>
    <w:rsid w:val="006240E1"/>
    <w:rsid w:val="006242AB"/>
    <w:rsid w:val="0062479E"/>
    <w:rsid w:val="00625425"/>
    <w:rsid w:val="00625D1B"/>
    <w:rsid w:val="00627173"/>
    <w:rsid w:val="00630A2C"/>
    <w:rsid w:val="00633E7A"/>
    <w:rsid w:val="006340F5"/>
    <w:rsid w:val="006344AC"/>
    <w:rsid w:val="0063497E"/>
    <w:rsid w:val="00634C95"/>
    <w:rsid w:val="00635E37"/>
    <w:rsid w:val="00635E84"/>
    <w:rsid w:val="00636014"/>
    <w:rsid w:val="0063706E"/>
    <w:rsid w:val="006379E1"/>
    <w:rsid w:val="00637B72"/>
    <w:rsid w:val="00637C72"/>
    <w:rsid w:val="0064222B"/>
    <w:rsid w:val="00642A4B"/>
    <w:rsid w:val="00642FE5"/>
    <w:rsid w:val="006433BA"/>
    <w:rsid w:val="006525B9"/>
    <w:rsid w:val="00652F66"/>
    <w:rsid w:val="0065358C"/>
    <w:rsid w:val="0065397E"/>
    <w:rsid w:val="00654FA2"/>
    <w:rsid w:val="00655044"/>
    <w:rsid w:val="006550F5"/>
    <w:rsid w:val="00655C29"/>
    <w:rsid w:val="00660E65"/>
    <w:rsid w:val="00661E25"/>
    <w:rsid w:val="0066304B"/>
    <w:rsid w:val="006633C7"/>
    <w:rsid w:val="006633CE"/>
    <w:rsid w:val="0066422F"/>
    <w:rsid w:val="00664E4E"/>
    <w:rsid w:val="00666AFB"/>
    <w:rsid w:val="0067045D"/>
    <w:rsid w:val="00670F17"/>
    <w:rsid w:val="00673E50"/>
    <w:rsid w:val="0067437D"/>
    <w:rsid w:val="006764A6"/>
    <w:rsid w:val="00677491"/>
    <w:rsid w:val="00677C22"/>
    <w:rsid w:val="00681DD0"/>
    <w:rsid w:val="00685647"/>
    <w:rsid w:val="0068735C"/>
    <w:rsid w:val="00687923"/>
    <w:rsid w:val="00690541"/>
    <w:rsid w:val="006909EA"/>
    <w:rsid w:val="00690DE0"/>
    <w:rsid w:val="00691923"/>
    <w:rsid w:val="00691A04"/>
    <w:rsid w:val="00694504"/>
    <w:rsid w:val="00694D65"/>
    <w:rsid w:val="006963B9"/>
    <w:rsid w:val="00696A83"/>
    <w:rsid w:val="00696FE7"/>
    <w:rsid w:val="00697361"/>
    <w:rsid w:val="006A03BE"/>
    <w:rsid w:val="006A0DA8"/>
    <w:rsid w:val="006A0E09"/>
    <w:rsid w:val="006A19EC"/>
    <w:rsid w:val="006A237F"/>
    <w:rsid w:val="006A317B"/>
    <w:rsid w:val="006A3A7A"/>
    <w:rsid w:val="006A3AF7"/>
    <w:rsid w:val="006A4526"/>
    <w:rsid w:val="006A4ADD"/>
    <w:rsid w:val="006A5A1F"/>
    <w:rsid w:val="006A633C"/>
    <w:rsid w:val="006A6FB1"/>
    <w:rsid w:val="006A74EC"/>
    <w:rsid w:val="006A77FE"/>
    <w:rsid w:val="006B0E8F"/>
    <w:rsid w:val="006B1A1C"/>
    <w:rsid w:val="006B58A7"/>
    <w:rsid w:val="006B70AF"/>
    <w:rsid w:val="006B7DA6"/>
    <w:rsid w:val="006C1998"/>
    <w:rsid w:val="006C2029"/>
    <w:rsid w:val="006C2CBB"/>
    <w:rsid w:val="006C3281"/>
    <w:rsid w:val="006C5084"/>
    <w:rsid w:val="006C5594"/>
    <w:rsid w:val="006C5EFC"/>
    <w:rsid w:val="006D09BE"/>
    <w:rsid w:val="006D10D2"/>
    <w:rsid w:val="006D2493"/>
    <w:rsid w:val="006D2CA4"/>
    <w:rsid w:val="006D3696"/>
    <w:rsid w:val="006D5C47"/>
    <w:rsid w:val="006D7595"/>
    <w:rsid w:val="006E0E20"/>
    <w:rsid w:val="006E19E9"/>
    <w:rsid w:val="006E1CAF"/>
    <w:rsid w:val="006E46D0"/>
    <w:rsid w:val="006E4F1F"/>
    <w:rsid w:val="006E558F"/>
    <w:rsid w:val="006E63A7"/>
    <w:rsid w:val="006E6FA2"/>
    <w:rsid w:val="006F057C"/>
    <w:rsid w:val="006F22DA"/>
    <w:rsid w:val="006F278D"/>
    <w:rsid w:val="006F2EB3"/>
    <w:rsid w:val="006F382F"/>
    <w:rsid w:val="006F3C68"/>
    <w:rsid w:val="006F4358"/>
    <w:rsid w:val="006F6B77"/>
    <w:rsid w:val="006F72C6"/>
    <w:rsid w:val="00700016"/>
    <w:rsid w:val="00700A45"/>
    <w:rsid w:val="007018B5"/>
    <w:rsid w:val="0070209A"/>
    <w:rsid w:val="00702C8A"/>
    <w:rsid w:val="007031A1"/>
    <w:rsid w:val="00703881"/>
    <w:rsid w:val="00704090"/>
    <w:rsid w:val="00707DC4"/>
    <w:rsid w:val="007138C6"/>
    <w:rsid w:val="00714BEE"/>
    <w:rsid w:val="00715E68"/>
    <w:rsid w:val="00716449"/>
    <w:rsid w:val="00717FA9"/>
    <w:rsid w:val="00720057"/>
    <w:rsid w:val="00721215"/>
    <w:rsid w:val="00721524"/>
    <w:rsid w:val="00723439"/>
    <w:rsid w:val="00723B7F"/>
    <w:rsid w:val="00726707"/>
    <w:rsid w:val="007267D1"/>
    <w:rsid w:val="007272A3"/>
    <w:rsid w:val="0073094C"/>
    <w:rsid w:val="00731BEE"/>
    <w:rsid w:val="00741AEB"/>
    <w:rsid w:val="00742521"/>
    <w:rsid w:val="00742D55"/>
    <w:rsid w:val="00743A86"/>
    <w:rsid w:val="00745CEB"/>
    <w:rsid w:val="00746475"/>
    <w:rsid w:val="00746A92"/>
    <w:rsid w:val="007475D5"/>
    <w:rsid w:val="007505D5"/>
    <w:rsid w:val="00751215"/>
    <w:rsid w:val="0075278D"/>
    <w:rsid w:val="00754A97"/>
    <w:rsid w:val="00754F76"/>
    <w:rsid w:val="00755442"/>
    <w:rsid w:val="007573C2"/>
    <w:rsid w:val="007575DD"/>
    <w:rsid w:val="00757FEA"/>
    <w:rsid w:val="00760D1F"/>
    <w:rsid w:val="00761C02"/>
    <w:rsid w:val="007635E6"/>
    <w:rsid w:val="00765B9D"/>
    <w:rsid w:val="00765CF7"/>
    <w:rsid w:val="00771AC9"/>
    <w:rsid w:val="0077599C"/>
    <w:rsid w:val="00776803"/>
    <w:rsid w:val="0077788D"/>
    <w:rsid w:val="00777CCB"/>
    <w:rsid w:val="00782A49"/>
    <w:rsid w:val="00784BC8"/>
    <w:rsid w:val="00785D40"/>
    <w:rsid w:val="007900C0"/>
    <w:rsid w:val="00790694"/>
    <w:rsid w:val="00791192"/>
    <w:rsid w:val="0079266E"/>
    <w:rsid w:val="00792B21"/>
    <w:rsid w:val="0079338C"/>
    <w:rsid w:val="00795422"/>
    <w:rsid w:val="0079572B"/>
    <w:rsid w:val="00797818"/>
    <w:rsid w:val="00797973"/>
    <w:rsid w:val="007A2234"/>
    <w:rsid w:val="007A30FA"/>
    <w:rsid w:val="007A39BA"/>
    <w:rsid w:val="007A5EAC"/>
    <w:rsid w:val="007A6872"/>
    <w:rsid w:val="007A7003"/>
    <w:rsid w:val="007A771B"/>
    <w:rsid w:val="007B033B"/>
    <w:rsid w:val="007B21A2"/>
    <w:rsid w:val="007B23FC"/>
    <w:rsid w:val="007B64C2"/>
    <w:rsid w:val="007B7826"/>
    <w:rsid w:val="007C155F"/>
    <w:rsid w:val="007C3EAF"/>
    <w:rsid w:val="007C4B86"/>
    <w:rsid w:val="007C4E79"/>
    <w:rsid w:val="007D0C1D"/>
    <w:rsid w:val="007D1D99"/>
    <w:rsid w:val="007D20C7"/>
    <w:rsid w:val="007D27B7"/>
    <w:rsid w:val="007D291B"/>
    <w:rsid w:val="007D338D"/>
    <w:rsid w:val="007D49A3"/>
    <w:rsid w:val="007D4DBF"/>
    <w:rsid w:val="007E02C9"/>
    <w:rsid w:val="007E2114"/>
    <w:rsid w:val="007E21E1"/>
    <w:rsid w:val="007E2BC4"/>
    <w:rsid w:val="007E2E17"/>
    <w:rsid w:val="007E4580"/>
    <w:rsid w:val="007E4732"/>
    <w:rsid w:val="007E4FBF"/>
    <w:rsid w:val="007E5AE7"/>
    <w:rsid w:val="007E71BD"/>
    <w:rsid w:val="007E751D"/>
    <w:rsid w:val="007F004E"/>
    <w:rsid w:val="007F166D"/>
    <w:rsid w:val="007F275B"/>
    <w:rsid w:val="007F3FCE"/>
    <w:rsid w:val="007F43DF"/>
    <w:rsid w:val="007F454B"/>
    <w:rsid w:val="007F4E61"/>
    <w:rsid w:val="007F760C"/>
    <w:rsid w:val="007F7B31"/>
    <w:rsid w:val="008009C5"/>
    <w:rsid w:val="00800BFF"/>
    <w:rsid w:val="00800D19"/>
    <w:rsid w:val="00801910"/>
    <w:rsid w:val="00801D35"/>
    <w:rsid w:val="00803730"/>
    <w:rsid w:val="008076EC"/>
    <w:rsid w:val="0081219E"/>
    <w:rsid w:val="00812901"/>
    <w:rsid w:val="00813BB0"/>
    <w:rsid w:val="008157BA"/>
    <w:rsid w:val="00816135"/>
    <w:rsid w:val="0081697F"/>
    <w:rsid w:val="008203D5"/>
    <w:rsid w:val="00820F6B"/>
    <w:rsid w:val="0082124E"/>
    <w:rsid w:val="00821970"/>
    <w:rsid w:val="00822A41"/>
    <w:rsid w:val="00822C7C"/>
    <w:rsid w:val="00822F16"/>
    <w:rsid w:val="00824451"/>
    <w:rsid w:val="00824C92"/>
    <w:rsid w:val="00824F94"/>
    <w:rsid w:val="00825FE0"/>
    <w:rsid w:val="00826795"/>
    <w:rsid w:val="00826B9A"/>
    <w:rsid w:val="00827664"/>
    <w:rsid w:val="00827E32"/>
    <w:rsid w:val="00831358"/>
    <w:rsid w:val="0083326E"/>
    <w:rsid w:val="008343D1"/>
    <w:rsid w:val="00834936"/>
    <w:rsid w:val="0083505D"/>
    <w:rsid w:val="00835EA0"/>
    <w:rsid w:val="00836521"/>
    <w:rsid w:val="00837AE7"/>
    <w:rsid w:val="00837EC2"/>
    <w:rsid w:val="00837FD6"/>
    <w:rsid w:val="008442CB"/>
    <w:rsid w:val="008442F1"/>
    <w:rsid w:val="008449DA"/>
    <w:rsid w:val="00846493"/>
    <w:rsid w:val="00850216"/>
    <w:rsid w:val="00851D8F"/>
    <w:rsid w:val="00852428"/>
    <w:rsid w:val="008544F4"/>
    <w:rsid w:val="00855CBB"/>
    <w:rsid w:val="00856840"/>
    <w:rsid w:val="00856D3F"/>
    <w:rsid w:val="0085727D"/>
    <w:rsid w:val="00860227"/>
    <w:rsid w:val="00860B72"/>
    <w:rsid w:val="00861291"/>
    <w:rsid w:val="008615DF"/>
    <w:rsid w:val="008622FB"/>
    <w:rsid w:val="00864530"/>
    <w:rsid w:val="0086722E"/>
    <w:rsid w:val="00867776"/>
    <w:rsid w:val="008717CF"/>
    <w:rsid w:val="00872505"/>
    <w:rsid w:val="008753CD"/>
    <w:rsid w:val="008755A3"/>
    <w:rsid w:val="00880BB3"/>
    <w:rsid w:val="008815D5"/>
    <w:rsid w:val="00881710"/>
    <w:rsid w:val="00885435"/>
    <w:rsid w:val="0088709D"/>
    <w:rsid w:val="00891E0A"/>
    <w:rsid w:val="00892ABA"/>
    <w:rsid w:val="008935E3"/>
    <w:rsid w:val="008939BE"/>
    <w:rsid w:val="00893D20"/>
    <w:rsid w:val="00894B07"/>
    <w:rsid w:val="00894C92"/>
    <w:rsid w:val="00894D7D"/>
    <w:rsid w:val="00895228"/>
    <w:rsid w:val="008957C2"/>
    <w:rsid w:val="00896190"/>
    <w:rsid w:val="00897AE1"/>
    <w:rsid w:val="00897D54"/>
    <w:rsid w:val="008A0032"/>
    <w:rsid w:val="008A1CA5"/>
    <w:rsid w:val="008A4A38"/>
    <w:rsid w:val="008A677D"/>
    <w:rsid w:val="008A73C4"/>
    <w:rsid w:val="008B10C1"/>
    <w:rsid w:val="008B25B2"/>
    <w:rsid w:val="008B3424"/>
    <w:rsid w:val="008B3969"/>
    <w:rsid w:val="008B4D29"/>
    <w:rsid w:val="008B4ED0"/>
    <w:rsid w:val="008B678B"/>
    <w:rsid w:val="008C006C"/>
    <w:rsid w:val="008C0CCD"/>
    <w:rsid w:val="008C179D"/>
    <w:rsid w:val="008C2861"/>
    <w:rsid w:val="008D0276"/>
    <w:rsid w:val="008D06CF"/>
    <w:rsid w:val="008D213B"/>
    <w:rsid w:val="008D3348"/>
    <w:rsid w:val="008D40B0"/>
    <w:rsid w:val="008D4240"/>
    <w:rsid w:val="008D4ADA"/>
    <w:rsid w:val="008D540C"/>
    <w:rsid w:val="008D5C78"/>
    <w:rsid w:val="008D6705"/>
    <w:rsid w:val="008D67D6"/>
    <w:rsid w:val="008D6DA6"/>
    <w:rsid w:val="008E1C20"/>
    <w:rsid w:val="008E2188"/>
    <w:rsid w:val="008E224D"/>
    <w:rsid w:val="008E2A4B"/>
    <w:rsid w:val="008E3EF8"/>
    <w:rsid w:val="008E4AE1"/>
    <w:rsid w:val="008E65F4"/>
    <w:rsid w:val="008F099E"/>
    <w:rsid w:val="008F100D"/>
    <w:rsid w:val="008F1A2F"/>
    <w:rsid w:val="008F1D65"/>
    <w:rsid w:val="008F21C7"/>
    <w:rsid w:val="008F233C"/>
    <w:rsid w:val="008F4674"/>
    <w:rsid w:val="008F511F"/>
    <w:rsid w:val="008F7767"/>
    <w:rsid w:val="009030E4"/>
    <w:rsid w:val="0090344B"/>
    <w:rsid w:val="00903C1B"/>
    <w:rsid w:val="009058F2"/>
    <w:rsid w:val="00907203"/>
    <w:rsid w:val="009102CE"/>
    <w:rsid w:val="009103FC"/>
    <w:rsid w:val="00910D0D"/>
    <w:rsid w:val="009126CB"/>
    <w:rsid w:val="0091766E"/>
    <w:rsid w:val="00920AC4"/>
    <w:rsid w:val="00921D48"/>
    <w:rsid w:val="009232E6"/>
    <w:rsid w:val="0092362F"/>
    <w:rsid w:val="0092471F"/>
    <w:rsid w:val="0092620D"/>
    <w:rsid w:val="009301E1"/>
    <w:rsid w:val="00931CB5"/>
    <w:rsid w:val="00931EBA"/>
    <w:rsid w:val="009330DC"/>
    <w:rsid w:val="00933D6D"/>
    <w:rsid w:val="00934BDE"/>
    <w:rsid w:val="00934C30"/>
    <w:rsid w:val="00935F3A"/>
    <w:rsid w:val="00936547"/>
    <w:rsid w:val="00937C70"/>
    <w:rsid w:val="00944483"/>
    <w:rsid w:val="00945BD6"/>
    <w:rsid w:val="009464B2"/>
    <w:rsid w:val="009464CF"/>
    <w:rsid w:val="00950098"/>
    <w:rsid w:val="00950B0F"/>
    <w:rsid w:val="009518FA"/>
    <w:rsid w:val="00952604"/>
    <w:rsid w:val="00952605"/>
    <w:rsid w:val="00952608"/>
    <w:rsid w:val="00952A57"/>
    <w:rsid w:val="00953298"/>
    <w:rsid w:val="00953535"/>
    <w:rsid w:val="00953AB1"/>
    <w:rsid w:val="00953CD0"/>
    <w:rsid w:val="00954EF4"/>
    <w:rsid w:val="0095526E"/>
    <w:rsid w:val="00956888"/>
    <w:rsid w:val="00957198"/>
    <w:rsid w:val="00957A93"/>
    <w:rsid w:val="00957C2D"/>
    <w:rsid w:val="00961657"/>
    <w:rsid w:val="00961707"/>
    <w:rsid w:val="00962410"/>
    <w:rsid w:val="00962DEA"/>
    <w:rsid w:val="0096354E"/>
    <w:rsid w:val="00963DAC"/>
    <w:rsid w:val="00964C12"/>
    <w:rsid w:val="0096570D"/>
    <w:rsid w:val="00965ABD"/>
    <w:rsid w:val="00965F2F"/>
    <w:rsid w:val="009661BF"/>
    <w:rsid w:val="00966A35"/>
    <w:rsid w:val="00967219"/>
    <w:rsid w:val="00967408"/>
    <w:rsid w:val="009718B5"/>
    <w:rsid w:val="00972933"/>
    <w:rsid w:val="00972F70"/>
    <w:rsid w:val="00974AA7"/>
    <w:rsid w:val="00975720"/>
    <w:rsid w:val="009759D8"/>
    <w:rsid w:val="009806E7"/>
    <w:rsid w:val="00981662"/>
    <w:rsid w:val="009844BC"/>
    <w:rsid w:val="00986777"/>
    <w:rsid w:val="00987A2E"/>
    <w:rsid w:val="00987EA7"/>
    <w:rsid w:val="00990E9C"/>
    <w:rsid w:val="00991302"/>
    <w:rsid w:val="00991424"/>
    <w:rsid w:val="00992B64"/>
    <w:rsid w:val="0099329D"/>
    <w:rsid w:val="009965E3"/>
    <w:rsid w:val="00996F05"/>
    <w:rsid w:val="00997BE2"/>
    <w:rsid w:val="009A1162"/>
    <w:rsid w:val="009A1169"/>
    <w:rsid w:val="009A1D38"/>
    <w:rsid w:val="009A3522"/>
    <w:rsid w:val="009A46AC"/>
    <w:rsid w:val="009B1429"/>
    <w:rsid w:val="009B160B"/>
    <w:rsid w:val="009B18B5"/>
    <w:rsid w:val="009B78EE"/>
    <w:rsid w:val="009C02BB"/>
    <w:rsid w:val="009C30DF"/>
    <w:rsid w:val="009C383F"/>
    <w:rsid w:val="009C50BF"/>
    <w:rsid w:val="009C512C"/>
    <w:rsid w:val="009C569F"/>
    <w:rsid w:val="009C5F56"/>
    <w:rsid w:val="009C6D11"/>
    <w:rsid w:val="009D0A9D"/>
    <w:rsid w:val="009D1039"/>
    <w:rsid w:val="009D14C8"/>
    <w:rsid w:val="009D2E0D"/>
    <w:rsid w:val="009D392C"/>
    <w:rsid w:val="009D39DA"/>
    <w:rsid w:val="009D401D"/>
    <w:rsid w:val="009D4A01"/>
    <w:rsid w:val="009D4C10"/>
    <w:rsid w:val="009D5C35"/>
    <w:rsid w:val="009E08CE"/>
    <w:rsid w:val="009E1179"/>
    <w:rsid w:val="009E22B0"/>
    <w:rsid w:val="009E3F49"/>
    <w:rsid w:val="009E5176"/>
    <w:rsid w:val="009E5692"/>
    <w:rsid w:val="009E5B1B"/>
    <w:rsid w:val="009E708C"/>
    <w:rsid w:val="009E7FE2"/>
    <w:rsid w:val="009F1CB6"/>
    <w:rsid w:val="009F2161"/>
    <w:rsid w:val="009F2B80"/>
    <w:rsid w:val="009F2E4F"/>
    <w:rsid w:val="009F4A02"/>
    <w:rsid w:val="009F51B9"/>
    <w:rsid w:val="009F5F40"/>
    <w:rsid w:val="00A00233"/>
    <w:rsid w:val="00A00952"/>
    <w:rsid w:val="00A00A64"/>
    <w:rsid w:val="00A00CBF"/>
    <w:rsid w:val="00A03C12"/>
    <w:rsid w:val="00A03E1E"/>
    <w:rsid w:val="00A0429A"/>
    <w:rsid w:val="00A07300"/>
    <w:rsid w:val="00A10BDE"/>
    <w:rsid w:val="00A10E9C"/>
    <w:rsid w:val="00A10FA5"/>
    <w:rsid w:val="00A13EEA"/>
    <w:rsid w:val="00A14F45"/>
    <w:rsid w:val="00A156F0"/>
    <w:rsid w:val="00A17813"/>
    <w:rsid w:val="00A20113"/>
    <w:rsid w:val="00A218B0"/>
    <w:rsid w:val="00A22839"/>
    <w:rsid w:val="00A229D2"/>
    <w:rsid w:val="00A2335D"/>
    <w:rsid w:val="00A23F65"/>
    <w:rsid w:val="00A24235"/>
    <w:rsid w:val="00A26B94"/>
    <w:rsid w:val="00A272AF"/>
    <w:rsid w:val="00A31B6F"/>
    <w:rsid w:val="00A31DC0"/>
    <w:rsid w:val="00A32333"/>
    <w:rsid w:val="00A323D9"/>
    <w:rsid w:val="00A33185"/>
    <w:rsid w:val="00A33323"/>
    <w:rsid w:val="00A33D03"/>
    <w:rsid w:val="00A34F3C"/>
    <w:rsid w:val="00A35188"/>
    <w:rsid w:val="00A367E0"/>
    <w:rsid w:val="00A37054"/>
    <w:rsid w:val="00A4242B"/>
    <w:rsid w:val="00A43443"/>
    <w:rsid w:val="00A43FF5"/>
    <w:rsid w:val="00A50102"/>
    <w:rsid w:val="00A50259"/>
    <w:rsid w:val="00A50565"/>
    <w:rsid w:val="00A51DA2"/>
    <w:rsid w:val="00A52A82"/>
    <w:rsid w:val="00A52D69"/>
    <w:rsid w:val="00A53151"/>
    <w:rsid w:val="00A533C8"/>
    <w:rsid w:val="00A53B04"/>
    <w:rsid w:val="00A53BFE"/>
    <w:rsid w:val="00A54694"/>
    <w:rsid w:val="00A55425"/>
    <w:rsid w:val="00A57348"/>
    <w:rsid w:val="00A57770"/>
    <w:rsid w:val="00A6066F"/>
    <w:rsid w:val="00A6206B"/>
    <w:rsid w:val="00A64789"/>
    <w:rsid w:val="00A659B7"/>
    <w:rsid w:val="00A66B94"/>
    <w:rsid w:val="00A66EE4"/>
    <w:rsid w:val="00A712E8"/>
    <w:rsid w:val="00A72152"/>
    <w:rsid w:val="00A7271A"/>
    <w:rsid w:val="00A7359D"/>
    <w:rsid w:val="00A7379D"/>
    <w:rsid w:val="00A74221"/>
    <w:rsid w:val="00A76D41"/>
    <w:rsid w:val="00A76E13"/>
    <w:rsid w:val="00A774A7"/>
    <w:rsid w:val="00A77B8F"/>
    <w:rsid w:val="00A81514"/>
    <w:rsid w:val="00A81CE0"/>
    <w:rsid w:val="00A829B8"/>
    <w:rsid w:val="00A83A77"/>
    <w:rsid w:val="00A83E33"/>
    <w:rsid w:val="00A85FA8"/>
    <w:rsid w:val="00A870EE"/>
    <w:rsid w:val="00A87D50"/>
    <w:rsid w:val="00A87FA4"/>
    <w:rsid w:val="00A90476"/>
    <w:rsid w:val="00A9141E"/>
    <w:rsid w:val="00A925C6"/>
    <w:rsid w:val="00A92D25"/>
    <w:rsid w:val="00A92E5B"/>
    <w:rsid w:val="00A938C3"/>
    <w:rsid w:val="00A95580"/>
    <w:rsid w:val="00A969AA"/>
    <w:rsid w:val="00AA2609"/>
    <w:rsid w:val="00AA383D"/>
    <w:rsid w:val="00AA4AD6"/>
    <w:rsid w:val="00AA5DFC"/>
    <w:rsid w:val="00AA6185"/>
    <w:rsid w:val="00AA72DB"/>
    <w:rsid w:val="00AA7F02"/>
    <w:rsid w:val="00AB4C90"/>
    <w:rsid w:val="00AB6082"/>
    <w:rsid w:val="00AB61C6"/>
    <w:rsid w:val="00AB795F"/>
    <w:rsid w:val="00AC0A97"/>
    <w:rsid w:val="00AC0BB3"/>
    <w:rsid w:val="00AC1460"/>
    <w:rsid w:val="00AC20C2"/>
    <w:rsid w:val="00AC26D4"/>
    <w:rsid w:val="00AC2BAA"/>
    <w:rsid w:val="00AC2FFE"/>
    <w:rsid w:val="00AC34B2"/>
    <w:rsid w:val="00AC3718"/>
    <w:rsid w:val="00AC41DD"/>
    <w:rsid w:val="00AC44E8"/>
    <w:rsid w:val="00AC55F8"/>
    <w:rsid w:val="00AC6312"/>
    <w:rsid w:val="00AC66C5"/>
    <w:rsid w:val="00AD0C57"/>
    <w:rsid w:val="00AD1A8D"/>
    <w:rsid w:val="00AD2288"/>
    <w:rsid w:val="00AD2795"/>
    <w:rsid w:val="00AD4DC5"/>
    <w:rsid w:val="00AD51B1"/>
    <w:rsid w:val="00AD5506"/>
    <w:rsid w:val="00AD6E03"/>
    <w:rsid w:val="00AD73E5"/>
    <w:rsid w:val="00AD7B51"/>
    <w:rsid w:val="00AE3ADC"/>
    <w:rsid w:val="00AE4D79"/>
    <w:rsid w:val="00AE4DD7"/>
    <w:rsid w:val="00AE517F"/>
    <w:rsid w:val="00AE54DB"/>
    <w:rsid w:val="00AE5AA1"/>
    <w:rsid w:val="00AF0CA6"/>
    <w:rsid w:val="00AF1127"/>
    <w:rsid w:val="00AF135A"/>
    <w:rsid w:val="00AF15CE"/>
    <w:rsid w:val="00AF2B2C"/>
    <w:rsid w:val="00AF438A"/>
    <w:rsid w:val="00AF598E"/>
    <w:rsid w:val="00AF5EBA"/>
    <w:rsid w:val="00AF641A"/>
    <w:rsid w:val="00AF6757"/>
    <w:rsid w:val="00AF6ED8"/>
    <w:rsid w:val="00AF6F1B"/>
    <w:rsid w:val="00B0165A"/>
    <w:rsid w:val="00B01AAD"/>
    <w:rsid w:val="00B047D0"/>
    <w:rsid w:val="00B05444"/>
    <w:rsid w:val="00B0628A"/>
    <w:rsid w:val="00B06904"/>
    <w:rsid w:val="00B073A3"/>
    <w:rsid w:val="00B1160D"/>
    <w:rsid w:val="00B116E9"/>
    <w:rsid w:val="00B125B1"/>
    <w:rsid w:val="00B13A91"/>
    <w:rsid w:val="00B13B65"/>
    <w:rsid w:val="00B13EAF"/>
    <w:rsid w:val="00B1405B"/>
    <w:rsid w:val="00B14AD4"/>
    <w:rsid w:val="00B15848"/>
    <w:rsid w:val="00B16263"/>
    <w:rsid w:val="00B16765"/>
    <w:rsid w:val="00B173AD"/>
    <w:rsid w:val="00B17948"/>
    <w:rsid w:val="00B22532"/>
    <w:rsid w:val="00B22CA8"/>
    <w:rsid w:val="00B24B8E"/>
    <w:rsid w:val="00B24FC0"/>
    <w:rsid w:val="00B25BEB"/>
    <w:rsid w:val="00B25D53"/>
    <w:rsid w:val="00B2735F"/>
    <w:rsid w:val="00B302F8"/>
    <w:rsid w:val="00B30899"/>
    <w:rsid w:val="00B35477"/>
    <w:rsid w:val="00B35F50"/>
    <w:rsid w:val="00B37595"/>
    <w:rsid w:val="00B40839"/>
    <w:rsid w:val="00B40A0E"/>
    <w:rsid w:val="00B40EB7"/>
    <w:rsid w:val="00B42144"/>
    <w:rsid w:val="00B427A7"/>
    <w:rsid w:val="00B436C6"/>
    <w:rsid w:val="00B44CB2"/>
    <w:rsid w:val="00B44CEE"/>
    <w:rsid w:val="00B45938"/>
    <w:rsid w:val="00B45A6C"/>
    <w:rsid w:val="00B477F4"/>
    <w:rsid w:val="00B47938"/>
    <w:rsid w:val="00B51F06"/>
    <w:rsid w:val="00B53EFF"/>
    <w:rsid w:val="00B54070"/>
    <w:rsid w:val="00B5461F"/>
    <w:rsid w:val="00B54AFA"/>
    <w:rsid w:val="00B60E46"/>
    <w:rsid w:val="00B628F4"/>
    <w:rsid w:val="00B630A5"/>
    <w:rsid w:val="00B63C98"/>
    <w:rsid w:val="00B66169"/>
    <w:rsid w:val="00B6659C"/>
    <w:rsid w:val="00B669C0"/>
    <w:rsid w:val="00B67039"/>
    <w:rsid w:val="00B672AF"/>
    <w:rsid w:val="00B71516"/>
    <w:rsid w:val="00B7192E"/>
    <w:rsid w:val="00B75106"/>
    <w:rsid w:val="00B76426"/>
    <w:rsid w:val="00B767E7"/>
    <w:rsid w:val="00B7719A"/>
    <w:rsid w:val="00B804E8"/>
    <w:rsid w:val="00B808B3"/>
    <w:rsid w:val="00B832BF"/>
    <w:rsid w:val="00B842A2"/>
    <w:rsid w:val="00B860EA"/>
    <w:rsid w:val="00B87DA1"/>
    <w:rsid w:val="00B91573"/>
    <w:rsid w:val="00B93242"/>
    <w:rsid w:val="00B95775"/>
    <w:rsid w:val="00B95DC7"/>
    <w:rsid w:val="00B960D4"/>
    <w:rsid w:val="00B96E41"/>
    <w:rsid w:val="00B972D9"/>
    <w:rsid w:val="00BA2F19"/>
    <w:rsid w:val="00BA32FF"/>
    <w:rsid w:val="00BA3AB5"/>
    <w:rsid w:val="00BA3E2F"/>
    <w:rsid w:val="00BA442A"/>
    <w:rsid w:val="00BA52A2"/>
    <w:rsid w:val="00BA5BE0"/>
    <w:rsid w:val="00BA5D81"/>
    <w:rsid w:val="00BA72FE"/>
    <w:rsid w:val="00BB0A57"/>
    <w:rsid w:val="00BB2D40"/>
    <w:rsid w:val="00BB60A4"/>
    <w:rsid w:val="00BB7370"/>
    <w:rsid w:val="00BB750C"/>
    <w:rsid w:val="00BC12ED"/>
    <w:rsid w:val="00BC1681"/>
    <w:rsid w:val="00BC206C"/>
    <w:rsid w:val="00BC33D6"/>
    <w:rsid w:val="00BD1EA7"/>
    <w:rsid w:val="00BD22E6"/>
    <w:rsid w:val="00BD2623"/>
    <w:rsid w:val="00BD2AC5"/>
    <w:rsid w:val="00BD596A"/>
    <w:rsid w:val="00BD6EA7"/>
    <w:rsid w:val="00BE0571"/>
    <w:rsid w:val="00BE09C5"/>
    <w:rsid w:val="00BE1732"/>
    <w:rsid w:val="00BE1DDA"/>
    <w:rsid w:val="00BE36D5"/>
    <w:rsid w:val="00BE3D10"/>
    <w:rsid w:val="00BE6C73"/>
    <w:rsid w:val="00BE7660"/>
    <w:rsid w:val="00BF020B"/>
    <w:rsid w:val="00BF1F99"/>
    <w:rsid w:val="00BF2B08"/>
    <w:rsid w:val="00BF447F"/>
    <w:rsid w:val="00BF6C2C"/>
    <w:rsid w:val="00BF75ED"/>
    <w:rsid w:val="00BF7A26"/>
    <w:rsid w:val="00C00C34"/>
    <w:rsid w:val="00C01A35"/>
    <w:rsid w:val="00C02097"/>
    <w:rsid w:val="00C02C5E"/>
    <w:rsid w:val="00C036DF"/>
    <w:rsid w:val="00C069A5"/>
    <w:rsid w:val="00C07569"/>
    <w:rsid w:val="00C104BF"/>
    <w:rsid w:val="00C1490A"/>
    <w:rsid w:val="00C14DCC"/>
    <w:rsid w:val="00C17791"/>
    <w:rsid w:val="00C17FE4"/>
    <w:rsid w:val="00C2085E"/>
    <w:rsid w:val="00C2099F"/>
    <w:rsid w:val="00C219D6"/>
    <w:rsid w:val="00C2293B"/>
    <w:rsid w:val="00C22A38"/>
    <w:rsid w:val="00C232D8"/>
    <w:rsid w:val="00C24AE1"/>
    <w:rsid w:val="00C2604E"/>
    <w:rsid w:val="00C26AEB"/>
    <w:rsid w:val="00C279E9"/>
    <w:rsid w:val="00C304F0"/>
    <w:rsid w:val="00C31DDB"/>
    <w:rsid w:val="00C31FA2"/>
    <w:rsid w:val="00C35CCA"/>
    <w:rsid w:val="00C36E25"/>
    <w:rsid w:val="00C36F0F"/>
    <w:rsid w:val="00C400BC"/>
    <w:rsid w:val="00C40EAD"/>
    <w:rsid w:val="00C40FC9"/>
    <w:rsid w:val="00C4112D"/>
    <w:rsid w:val="00C4209C"/>
    <w:rsid w:val="00C424C8"/>
    <w:rsid w:val="00C448CF"/>
    <w:rsid w:val="00C45CF6"/>
    <w:rsid w:val="00C5236A"/>
    <w:rsid w:val="00C52CAA"/>
    <w:rsid w:val="00C541A8"/>
    <w:rsid w:val="00C54349"/>
    <w:rsid w:val="00C57267"/>
    <w:rsid w:val="00C57A0D"/>
    <w:rsid w:val="00C57FBE"/>
    <w:rsid w:val="00C60D02"/>
    <w:rsid w:val="00C61CE7"/>
    <w:rsid w:val="00C636C2"/>
    <w:rsid w:val="00C649DF"/>
    <w:rsid w:val="00C6530C"/>
    <w:rsid w:val="00C700D5"/>
    <w:rsid w:val="00C70F96"/>
    <w:rsid w:val="00C71252"/>
    <w:rsid w:val="00C71B6A"/>
    <w:rsid w:val="00C7214C"/>
    <w:rsid w:val="00C736CB"/>
    <w:rsid w:val="00C740B0"/>
    <w:rsid w:val="00C74465"/>
    <w:rsid w:val="00C761FE"/>
    <w:rsid w:val="00C76666"/>
    <w:rsid w:val="00C801D4"/>
    <w:rsid w:val="00C8079C"/>
    <w:rsid w:val="00C81947"/>
    <w:rsid w:val="00C8343F"/>
    <w:rsid w:val="00C83EFD"/>
    <w:rsid w:val="00C8529F"/>
    <w:rsid w:val="00C858E4"/>
    <w:rsid w:val="00C85D12"/>
    <w:rsid w:val="00C90A80"/>
    <w:rsid w:val="00C924A7"/>
    <w:rsid w:val="00C93368"/>
    <w:rsid w:val="00C959A6"/>
    <w:rsid w:val="00C96F4A"/>
    <w:rsid w:val="00C9707A"/>
    <w:rsid w:val="00C97D07"/>
    <w:rsid w:val="00CA04DE"/>
    <w:rsid w:val="00CA050A"/>
    <w:rsid w:val="00CA1351"/>
    <w:rsid w:val="00CA3A0F"/>
    <w:rsid w:val="00CA60A9"/>
    <w:rsid w:val="00CA6707"/>
    <w:rsid w:val="00CB1A89"/>
    <w:rsid w:val="00CB1B58"/>
    <w:rsid w:val="00CB210E"/>
    <w:rsid w:val="00CB2691"/>
    <w:rsid w:val="00CB2851"/>
    <w:rsid w:val="00CB3146"/>
    <w:rsid w:val="00CB4134"/>
    <w:rsid w:val="00CB4B2A"/>
    <w:rsid w:val="00CC124A"/>
    <w:rsid w:val="00CC3819"/>
    <w:rsid w:val="00CC4968"/>
    <w:rsid w:val="00CC4A15"/>
    <w:rsid w:val="00CC4B55"/>
    <w:rsid w:val="00CC5DF2"/>
    <w:rsid w:val="00CD0219"/>
    <w:rsid w:val="00CD0A03"/>
    <w:rsid w:val="00CD2BB1"/>
    <w:rsid w:val="00CD735C"/>
    <w:rsid w:val="00CE10BA"/>
    <w:rsid w:val="00CE1C9A"/>
    <w:rsid w:val="00CE22F9"/>
    <w:rsid w:val="00CE2818"/>
    <w:rsid w:val="00CE38D4"/>
    <w:rsid w:val="00CE4779"/>
    <w:rsid w:val="00CE48DC"/>
    <w:rsid w:val="00CE4AD3"/>
    <w:rsid w:val="00CE5E50"/>
    <w:rsid w:val="00CE5E99"/>
    <w:rsid w:val="00CE77A2"/>
    <w:rsid w:val="00CF0653"/>
    <w:rsid w:val="00CF0D3D"/>
    <w:rsid w:val="00CF0FC4"/>
    <w:rsid w:val="00CF1B0C"/>
    <w:rsid w:val="00CF3608"/>
    <w:rsid w:val="00CF3C3D"/>
    <w:rsid w:val="00CF3C93"/>
    <w:rsid w:val="00CF462D"/>
    <w:rsid w:val="00CF4A50"/>
    <w:rsid w:val="00CF4AB6"/>
    <w:rsid w:val="00CF68B3"/>
    <w:rsid w:val="00CF6932"/>
    <w:rsid w:val="00D01625"/>
    <w:rsid w:val="00D0359B"/>
    <w:rsid w:val="00D04878"/>
    <w:rsid w:val="00D04B31"/>
    <w:rsid w:val="00D04D30"/>
    <w:rsid w:val="00D068D3"/>
    <w:rsid w:val="00D07576"/>
    <w:rsid w:val="00D07EDA"/>
    <w:rsid w:val="00D10C04"/>
    <w:rsid w:val="00D13CE0"/>
    <w:rsid w:val="00D149A3"/>
    <w:rsid w:val="00D15EE6"/>
    <w:rsid w:val="00D164AF"/>
    <w:rsid w:val="00D165A4"/>
    <w:rsid w:val="00D17B17"/>
    <w:rsid w:val="00D20D5B"/>
    <w:rsid w:val="00D236CE"/>
    <w:rsid w:val="00D23D0E"/>
    <w:rsid w:val="00D23EDC"/>
    <w:rsid w:val="00D251DF"/>
    <w:rsid w:val="00D258AC"/>
    <w:rsid w:val="00D26F3A"/>
    <w:rsid w:val="00D27440"/>
    <w:rsid w:val="00D30E09"/>
    <w:rsid w:val="00D32187"/>
    <w:rsid w:val="00D325FE"/>
    <w:rsid w:val="00D32A8C"/>
    <w:rsid w:val="00D3333D"/>
    <w:rsid w:val="00D33D13"/>
    <w:rsid w:val="00D341B1"/>
    <w:rsid w:val="00D345A4"/>
    <w:rsid w:val="00D37522"/>
    <w:rsid w:val="00D37F2F"/>
    <w:rsid w:val="00D42F5C"/>
    <w:rsid w:val="00D44E09"/>
    <w:rsid w:val="00D4573F"/>
    <w:rsid w:val="00D46ECA"/>
    <w:rsid w:val="00D47F50"/>
    <w:rsid w:val="00D52D46"/>
    <w:rsid w:val="00D537F6"/>
    <w:rsid w:val="00D54B98"/>
    <w:rsid w:val="00D55D81"/>
    <w:rsid w:val="00D57576"/>
    <w:rsid w:val="00D575A8"/>
    <w:rsid w:val="00D57692"/>
    <w:rsid w:val="00D57782"/>
    <w:rsid w:val="00D60230"/>
    <w:rsid w:val="00D6091A"/>
    <w:rsid w:val="00D6268F"/>
    <w:rsid w:val="00D62E18"/>
    <w:rsid w:val="00D63890"/>
    <w:rsid w:val="00D63B83"/>
    <w:rsid w:val="00D645B0"/>
    <w:rsid w:val="00D64B01"/>
    <w:rsid w:val="00D709CF"/>
    <w:rsid w:val="00D70E24"/>
    <w:rsid w:val="00D71F83"/>
    <w:rsid w:val="00D72315"/>
    <w:rsid w:val="00D73C5B"/>
    <w:rsid w:val="00D74CBC"/>
    <w:rsid w:val="00D74E6F"/>
    <w:rsid w:val="00D74F2C"/>
    <w:rsid w:val="00D74F9F"/>
    <w:rsid w:val="00D75528"/>
    <w:rsid w:val="00D75981"/>
    <w:rsid w:val="00D77527"/>
    <w:rsid w:val="00D801C1"/>
    <w:rsid w:val="00D80B11"/>
    <w:rsid w:val="00D81219"/>
    <w:rsid w:val="00D827C7"/>
    <w:rsid w:val="00D835CF"/>
    <w:rsid w:val="00D85184"/>
    <w:rsid w:val="00D8519B"/>
    <w:rsid w:val="00D90114"/>
    <w:rsid w:val="00D91BBC"/>
    <w:rsid w:val="00D92878"/>
    <w:rsid w:val="00D9410F"/>
    <w:rsid w:val="00D94CFB"/>
    <w:rsid w:val="00D97004"/>
    <w:rsid w:val="00D9714F"/>
    <w:rsid w:val="00DA15A8"/>
    <w:rsid w:val="00DA17A5"/>
    <w:rsid w:val="00DA26FB"/>
    <w:rsid w:val="00DA516D"/>
    <w:rsid w:val="00DA6F37"/>
    <w:rsid w:val="00DA71C3"/>
    <w:rsid w:val="00DA71DF"/>
    <w:rsid w:val="00DA79D7"/>
    <w:rsid w:val="00DB0FDF"/>
    <w:rsid w:val="00DB1472"/>
    <w:rsid w:val="00DB20A2"/>
    <w:rsid w:val="00DB2E72"/>
    <w:rsid w:val="00DB3161"/>
    <w:rsid w:val="00DB4109"/>
    <w:rsid w:val="00DB4DB4"/>
    <w:rsid w:val="00DB69D1"/>
    <w:rsid w:val="00DB6C3D"/>
    <w:rsid w:val="00DB7BED"/>
    <w:rsid w:val="00DC01E7"/>
    <w:rsid w:val="00DC128E"/>
    <w:rsid w:val="00DC1FE3"/>
    <w:rsid w:val="00DC2166"/>
    <w:rsid w:val="00DC4901"/>
    <w:rsid w:val="00DC5ACF"/>
    <w:rsid w:val="00DC5AEC"/>
    <w:rsid w:val="00DC65F6"/>
    <w:rsid w:val="00DC6BE7"/>
    <w:rsid w:val="00DC76F0"/>
    <w:rsid w:val="00DD0380"/>
    <w:rsid w:val="00DD0511"/>
    <w:rsid w:val="00DD3A49"/>
    <w:rsid w:val="00DD3C11"/>
    <w:rsid w:val="00DD4356"/>
    <w:rsid w:val="00DD5B35"/>
    <w:rsid w:val="00DD6AC4"/>
    <w:rsid w:val="00DD72DA"/>
    <w:rsid w:val="00DE030F"/>
    <w:rsid w:val="00DE0509"/>
    <w:rsid w:val="00DE1242"/>
    <w:rsid w:val="00DE139F"/>
    <w:rsid w:val="00DE2DFD"/>
    <w:rsid w:val="00DE2FCF"/>
    <w:rsid w:val="00DE4BC5"/>
    <w:rsid w:val="00DE5AED"/>
    <w:rsid w:val="00DE71D3"/>
    <w:rsid w:val="00DF041B"/>
    <w:rsid w:val="00DF08A0"/>
    <w:rsid w:val="00DF1633"/>
    <w:rsid w:val="00DF582A"/>
    <w:rsid w:val="00DF7785"/>
    <w:rsid w:val="00E00835"/>
    <w:rsid w:val="00E04578"/>
    <w:rsid w:val="00E07305"/>
    <w:rsid w:val="00E10D59"/>
    <w:rsid w:val="00E121EB"/>
    <w:rsid w:val="00E13D48"/>
    <w:rsid w:val="00E17F6D"/>
    <w:rsid w:val="00E204CF"/>
    <w:rsid w:val="00E20900"/>
    <w:rsid w:val="00E20DFD"/>
    <w:rsid w:val="00E210B9"/>
    <w:rsid w:val="00E21B23"/>
    <w:rsid w:val="00E2312A"/>
    <w:rsid w:val="00E23241"/>
    <w:rsid w:val="00E23D8D"/>
    <w:rsid w:val="00E245ED"/>
    <w:rsid w:val="00E276E1"/>
    <w:rsid w:val="00E32711"/>
    <w:rsid w:val="00E33042"/>
    <w:rsid w:val="00E35125"/>
    <w:rsid w:val="00E35A9A"/>
    <w:rsid w:val="00E3653E"/>
    <w:rsid w:val="00E36CA7"/>
    <w:rsid w:val="00E36ECB"/>
    <w:rsid w:val="00E37974"/>
    <w:rsid w:val="00E409A4"/>
    <w:rsid w:val="00E43E37"/>
    <w:rsid w:val="00E4422D"/>
    <w:rsid w:val="00E4537B"/>
    <w:rsid w:val="00E45B58"/>
    <w:rsid w:val="00E45D9C"/>
    <w:rsid w:val="00E46227"/>
    <w:rsid w:val="00E46742"/>
    <w:rsid w:val="00E50E45"/>
    <w:rsid w:val="00E51227"/>
    <w:rsid w:val="00E51655"/>
    <w:rsid w:val="00E54720"/>
    <w:rsid w:val="00E54FB7"/>
    <w:rsid w:val="00E614EA"/>
    <w:rsid w:val="00E621F0"/>
    <w:rsid w:val="00E634A6"/>
    <w:rsid w:val="00E6369A"/>
    <w:rsid w:val="00E63ECB"/>
    <w:rsid w:val="00E6414C"/>
    <w:rsid w:val="00E653B5"/>
    <w:rsid w:val="00E66211"/>
    <w:rsid w:val="00E662CB"/>
    <w:rsid w:val="00E67AD0"/>
    <w:rsid w:val="00E701F5"/>
    <w:rsid w:val="00E70285"/>
    <w:rsid w:val="00E73627"/>
    <w:rsid w:val="00E73C8D"/>
    <w:rsid w:val="00E74909"/>
    <w:rsid w:val="00E751D2"/>
    <w:rsid w:val="00E77B2E"/>
    <w:rsid w:val="00E77F63"/>
    <w:rsid w:val="00E81CDB"/>
    <w:rsid w:val="00E82FDF"/>
    <w:rsid w:val="00E83168"/>
    <w:rsid w:val="00E836A2"/>
    <w:rsid w:val="00E8374A"/>
    <w:rsid w:val="00E867BC"/>
    <w:rsid w:val="00E871FD"/>
    <w:rsid w:val="00E9008D"/>
    <w:rsid w:val="00E9195A"/>
    <w:rsid w:val="00E92D72"/>
    <w:rsid w:val="00EA0C8D"/>
    <w:rsid w:val="00EA341D"/>
    <w:rsid w:val="00EA5DE4"/>
    <w:rsid w:val="00EA628D"/>
    <w:rsid w:val="00EA64B8"/>
    <w:rsid w:val="00EA6835"/>
    <w:rsid w:val="00EA7740"/>
    <w:rsid w:val="00EB2DA7"/>
    <w:rsid w:val="00EB4273"/>
    <w:rsid w:val="00EB4D15"/>
    <w:rsid w:val="00EB50F9"/>
    <w:rsid w:val="00EB5E57"/>
    <w:rsid w:val="00EB6D76"/>
    <w:rsid w:val="00EB7D9E"/>
    <w:rsid w:val="00EC0063"/>
    <w:rsid w:val="00EC0C4D"/>
    <w:rsid w:val="00EC1E32"/>
    <w:rsid w:val="00EC4DF1"/>
    <w:rsid w:val="00EC50FB"/>
    <w:rsid w:val="00EC54FC"/>
    <w:rsid w:val="00EC64D6"/>
    <w:rsid w:val="00EC6F66"/>
    <w:rsid w:val="00EC7194"/>
    <w:rsid w:val="00ED1B32"/>
    <w:rsid w:val="00ED242B"/>
    <w:rsid w:val="00ED24BB"/>
    <w:rsid w:val="00ED2651"/>
    <w:rsid w:val="00ED300C"/>
    <w:rsid w:val="00ED30C9"/>
    <w:rsid w:val="00ED4141"/>
    <w:rsid w:val="00ED4F47"/>
    <w:rsid w:val="00ED4F93"/>
    <w:rsid w:val="00ED6420"/>
    <w:rsid w:val="00ED6C9E"/>
    <w:rsid w:val="00EE37CF"/>
    <w:rsid w:val="00EE4D14"/>
    <w:rsid w:val="00EE5DA0"/>
    <w:rsid w:val="00EE65BB"/>
    <w:rsid w:val="00EE7E41"/>
    <w:rsid w:val="00EF3E22"/>
    <w:rsid w:val="00EF6A6A"/>
    <w:rsid w:val="00EF71A0"/>
    <w:rsid w:val="00EF799F"/>
    <w:rsid w:val="00F005D1"/>
    <w:rsid w:val="00F01D48"/>
    <w:rsid w:val="00F023E2"/>
    <w:rsid w:val="00F04E04"/>
    <w:rsid w:val="00F05D5E"/>
    <w:rsid w:val="00F06855"/>
    <w:rsid w:val="00F070E2"/>
    <w:rsid w:val="00F0774E"/>
    <w:rsid w:val="00F123B5"/>
    <w:rsid w:val="00F126D7"/>
    <w:rsid w:val="00F13EF5"/>
    <w:rsid w:val="00F13F91"/>
    <w:rsid w:val="00F13FA8"/>
    <w:rsid w:val="00F15F40"/>
    <w:rsid w:val="00F200B4"/>
    <w:rsid w:val="00F2020C"/>
    <w:rsid w:val="00F27386"/>
    <w:rsid w:val="00F277FB"/>
    <w:rsid w:val="00F31003"/>
    <w:rsid w:val="00F33E77"/>
    <w:rsid w:val="00F342FE"/>
    <w:rsid w:val="00F349A6"/>
    <w:rsid w:val="00F34A03"/>
    <w:rsid w:val="00F3573F"/>
    <w:rsid w:val="00F3582A"/>
    <w:rsid w:val="00F37451"/>
    <w:rsid w:val="00F40463"/>
    <w:rsid w:val="00F41EA3"/>
    <w:rsid w:val="00F42849"/>
    <w:rsid w:val="00F43333"/>
    <w:rsid w:val="00F433A0"/>
    <w:rsid w:val="00F43911"/>
    <w:rsid w:val="00F44178"/>
    <w:rsid w:val="00F4466E"/>
    <w:rsid w:val="00F5225D"/>
    <w:rsid w:val="00F528C7"/>
    <w:rsid w:val="00F55A32"/>
    <w:rsid w:val="00F5649A"/>
    <w:rsid w:val="00F5650D"/>
    <w:rsid w:val="00F6323D"/>
    <w:rsid w:val="00F63C15"/>
    <w:rsid w:val="00F650D7"/>
    <w:rsid w:val="00F65565"/>
    <w:rsid w:val="00F67A46"/>
    <w:rsid w:val="00F71339"/>
    <w:rsid w:val="00F71F33"/>
    <w:rsid w:val="00F7369C"/>
    <w:rsid w:val="00F74989"/>
    <w:rsid w:val="00F76C68"/>
    <w:rsid w:val="00F77E61"/>
    <w:rsid w:val="00F82334"/>
    <w:rsid w:val="00F82342"/>
    <w:rsid w:val="00F84DDA"/>
    <w:rsid w:val="00F84EA8"/>
    <w:rsid w:val="00F85627"/>
    <w:rsid w:val="00F865BD"/>
    <w:rsid w:val="00F86C1B"/>
    <w:rsid w:val="00F90729"/>
    <w:rsid w:val="00F91AE4"/>
    <w:rsid w:val="00F92234"/>
    <w:rsid w:val="00F92624"/>
    <w:rsid w:val="00F958CE"/>
    <w:rsid w:val="00F95A16"/>
    <w:rsid w:val="00F9680A"/>
    <w:rsid w:val="00F97476"/>
    <w:rsid w:val="00FA1127"/>
    <w:rsid w:val="00FA1523"/>
    <w:rsid w:val="00FA3412"/>
    <w:rsid w:val="00FA3CAE"/>
    <w:rsid w:val="00FA49B5"/>
    <w:rsid w:val="00FA4E9F"/>
    <w:rsid w:val="00FA5ABC"/>
    <w:rsid w:val="00FA5D52"/>
    <w:rsid w:val="00FA683C"/>
    <w:rsid w:val="00FB1231"/>
    <w:rsid w:val="00FB15BC"/>
    <w:rsid w:val="00FB1C9E"/>
    <w:rsid w:val="00FB22C8"/>
    <w:rsid w:val="00FB408B"/>
    <w:rsid w:val="00FB466B"/>
    <w:rsid w:val="00FB5786"/>
    <w:rsid w:val="00FB5C5B"/>
    <w:rsid w:val="00FB6429"/>
    <w:rsid w:val="00FB7541"/>
    <w:rsid w:val="00FB7C1F"/>
    <w:rsid w:val="00FC090C"/>
    <w:rsid w:val="00FC1E0A"/>
    <w:rsid w:val="00FC2412"/>
    <w:rsid w:val="00FC2811"/>
    <w:rsid w:val="00FC3E85"/>
    <w:rsid w:val="00FC5307"/>
    <w:rsid w:val="00FC627D"/>
    <w:rsid w:val="00FD1466"/>
    <w:rsid w:val="00FD1A9C"/>
    <w:rsid w:val="00FD1D40"/>
    <w:rsid w:val="00FD633E"/>
    <w:rsid w:val="00FD7191"/>
    <w:rsid w:val="00FE0B00"/>
    <w:rsid w:val="00FE0C58"/>
    <w:rsid w:val="00FE12FF"/>
    <w:rsid w:val="00FE17E2"/>
    <w:rsid w:val="00FE366B"/>
    <w:rsid w:val="00FE3DEE"/>
    <w:rsid w:val="00FE6146"/>
    <w:rsid w:val="00FE7530"/>
    <w:rsid w:val="00FE7BD5"/>
    <w:rsid w:val="00FF095F"/>
    <w:rsid w:val="00FF0AF3"/>
    <w:rsid w:val="00FF170C"/>
    <w:rsid w:val="00FF1BE1"/>
    <w:rsid w:val="00FF3668"/>
    <w:rsid w:val="00FF4967"/>
    <w:rsid w:val="00FF509C"/>
    <w:rsid w:val="00FF50F6"/>
    <w:rsid w:val="00FF5DC3"/>
    <w:rsid w:val="00FF61D4"/>
    <w:rsid w:val="00FF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563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22F"/>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741AEB"/>
    <w:pPr>
      <w:keepNext/>
      <w:outlineLvl w:val="4"/>
    </w:pPr>
    <w:rPr>
      <w:rFonts w:cs="Arial"/>
      <w:sz w:val="28"/>
    </w:rPr>
  </w:style>
  <w:style w:type="paragraph" w:styleId="Heading6">
    <w:name w:val="heading 6"/>
    <w:basedOn w:val="Normal"/>
    <w:next w:val="Normal"/>
    <w:link w:val="Heading6Char"/>
    <w:qFormat/>
    <w:rsid w:val="00741AEB"/>
    <w:pPr>
      <w:keepNext/>
      <w:ind w:left="720" w:hanging="720"/>
      <w:outlineLvl w:val="5"/>
    </w:pPr>
    <w:rPr>
      <w:rFonts w:cs="Arial"/>
      <w:b/>
      <w:bCs/>
      <w:sz w:val="28"/>
      <w:szCs w:val="24"/>
    </w:rPr>
  </w:style>
  <w:style w:type="paragraph" w:styleId="Heading7">
    <w:name w:val="heading 7"/>
    <w:basedOn w:val="Normal"/>
    <w:next w:val="Normal"/>
    <w:link w:val="Heading7Char"/>
    <w:qFormat/>
    <w:rsid w:val="00741AEB"/>
    <w:pPr>
      <w:keepNext/>
      <w:ind w:left="720" w:hanging="720"/>
      <w:jc w:val="both"/>
      <w:outlineLvl w:val="6"/>
    </w:pPr>
    <w:rPr>
      <w:rFonts w:cs="Arial"/>
      <w:i/>
      <w:iCs/>
    </w:rPr>
  </w:style>
  <w:style w:type="paragraph" w:styleId="Heading8">
    <w:name w:val="heading 8"/>
    <w:basedOn w:val="Normal"/>
    <w:next w:val="Normal"/>
    <w:link w:val="Heading8Char"/>
    <w:qFormat/>
    <w:rsid w:val="00741AEB"/>
    <w:pPr>
      <w:keepNext/>
      <w:ind w:left="720" w:hanging="720"/>
      <w:outlineLvl w:val="7"/>
    </w:pPr>
    <w:rPr>
      <w:rFonts w:cs="Arial"/>
      <w:i/>
      <w:iCs/>
    </w:rPr>
  </w:style>
  <w:style w:type="paragraph" w:styleId="Heading9">
    <w:name w:val="heading 9"/>
    <w:basedOn w:val="Normal"/>
    <w:next w:val="Normal"/>
    <w:link w:val="Heading9Char"/>
    <w:qFormat/>
    <w:rsid w:val="00741AEB"/>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5Char">
    <w:name w:val="Heading 5 Char"/>
    <w:basedOn w:val="DefaultParagraphFont"/>
    <w:link w:val="Heading5"/>
    <w:rsid w:val="00741AEB"/>
    <w:rPr>
      <w:rFonts w:ascii="Arial" w:hAnsi="Arial" w:cs="Arial"/>
      <w:sz w:val="28"/>
      <w:lang w:eastAsia="en-US"/>
    </w:rPr>
  </w:style>
  <w:style w:type="character" w:customStyle="1" w:styleId="Heading6Char">
    <w:name w:val="Heading 6 Char"/>
    <w:basedOn w:val="DefaultParagraphFont"/>
    <w:link w:val="Heading6"/>
    <w:rsid w:val="00741AEB"/>
    <w:rPr>
      <w:rFonts w:ascii="Arial" w:hAnsi="Arial" w:cs="Arial"/>
      <w:b/>
      <w:bCs/>
      <w:sz w:val="28"/>
      <w:szCs w:val="24"/>
      <w:lang w:eastAsia="en-US"/>
    </w:rPr>
  </w:style>
  <w:style w:type="character" w:customStyle="1" w:styleId="Heading7Char">
    <w:name w:val="Heading 7 Char"/>
    <w:basedOn w:val="DefaultParagraphFont"/>
    <w:link w:val="Heading7"/>
    <w:rsid w:val="00741AEB"/>
    <w:rPr>
      <w:rFonts w:ascii="Arial" w:hAnsi="Arial" w:cs="Arial"/>
      <w:i/>
      <w:iCs/>
      <w:sz w:val="24"/>
      <w:lang w:eastAsia="en-US"/>
    </w:rPr>
  </w:style>
  <w:style w:type="character" w:customStyle="1" w:styleId="Heading8Char">
    <w:name w:val="Heading 8 Char"/>
    <w:basedOn w:val="DefaultParagraphFont"/>
    <w:link w:val="Heading8"/>
    <w:rsid w:val="00741AEB"/>
    <w:rPr>
      <w:rFonts w:ascii="Arial" w:hAnsi="Arial" w:cs="Arial"/>
      <w:i/>
      <w:iCs/>
      <w:sz w:val="24"/>
      <w:lang w:eastAsia="en-US"/>
    </w:rPr>
  </w:style>
  <w:style w:type="character" w:customStyle="1" w:styleId="Heading9Char">
    <w:name w:val="Heading 9 Char"/>
    <w:basedOn w:val="DefaultParagraphFont"/>
    <w:link w:val="Heading9"/>
    <w:rsid w:val="00741AEB"/>
    <w:rPr>
      <w:rFonts w:ascii="Arial" w:hAnsi="Arial" w:cs="Arial"/>
      <w:sz w:val="24"/>
      <w:lang w:eastAsia="en-US"/>
    </w:rPr>
  </w:style>
  <w:style w:type="character" w:customStyle="1" w:styleId="FooterChar">
    <w:name w:val="Footer Char"/>
    <w:link w:val="Footer"/>
    <w:uiPriority w:val="99"/>
    <w:rsid w:val="00741AEB"/>
    <w:rPr>
      <w:rFonts w:ascii="Arial" w:hAnsi="Arial"/>
      <w:sz w:val="24"/>
      <w:szCs w:val="24"/>
      <w:lang w:val="en-US" w:eastAsia="en-US"/>
    </w:rPr>
  </w:style>
  <w:style w:type="paragraph" w:styleId="DocumentMap">
    <w:name w:val="Document Map"/>
    <w:basedOn w:val="Normal"/>
    <w:link w:val="DocumentMapChar"/>
    <w:rsid w:val="00741AEB"/>
    <w:pPr>
      <w:shd w:val="clear" w:color="auto" w:fill="000080"/>
    </w:pPr>
    <w:rPr>
      <w:rFonts w:ascii="Tahoma" w:hAnsi="Tahoma" w:cs="Tahoma"/>
    </w:rPr>
  </w:style>
  <w:style w:type="character" w:customStyle="1" w:styleId="DocumentMapChar">
    <w:name w:val="Document Map Char"/>
    <w:basedOn w:val="DefaultParagraphFont"/>
    <w:link w:val="DocumentMap"/>
    <w:rsid w:val="00741AEB"/>
    <w:rPr>
      <w:rFonts w:ascii="Tahoma" w:hAnsi="Tahoma" w:cs="Tahoma"/>
      <w:sz w:val="24"/>
      <w:shd w:val="clear" w:color="auto" w:fill="000080"/>
      <w:lang w:eastAsia="en-US"/>
    </w:rPr>
  </w:style>
  <w:style w:type="character" w:customStyle="1" w:styleId="Heading3Char">
    <w:name w:val="Heading 3 Char"/>
    <w:rsid w:val="00741AEB"/>
    <w:rPr>
      <w:rFonts w:ascii="Arial" w:hAnsi="Arial" w:cs="Arial"/>
      <w:b/>
      <w:bCs/>
      <w:i/>
      <w:sz w:val="24"/>
      <w:szCs w:val="28"/>
      <w:lang w:val="en-GB" w:eastAsia="en-US" w:bidi="ar-SA"/>
    </w:rPr>
  </w:style>
  <w:style w:type="paragraph" w:customStyle="1" w:styleId="Style12ptJustified">
    <w:name w:val="Style 12 pt Justified"/>
    <w:basedOn w:val="Normal"/>
    <w:rsid w:val="00741AEB"/>
  </w:style>
  <w:style w:type="paragraph" w:customStyle="1" w:styleId="Style12ptLinespacing15lines">
    <w:name w:val="Style 12 pt Line spacing:  1.5 lines"/>
    <w:basedOn w:val="Normal"/>
    <w:rsid w:val="00741AEB"/>
  </w:style>
  <w:style w:type="paragraph" w:customStyle="1" w:styleId="Style12ptJustified1">
    <w:name w:val="Style 12 pt Justified1"/>
    <w:basedOn w:val="Normal"/>
    <w:rsid w:val="00741AEB"/>
  </w:style>
  <w:style w:type="paragraph" w:customStyle="1" w:styleId="Style12ptJustified2">
    <w:name w:val="Style 12 pt Justified2"/>
    <w:basedOn w:val="Normal"/>
    <w:rsid w:val="00741AEB"/>
  </w:style>
  <w:style w:type="paragraph" w:customStyle="1" w:styleId="Style12ptJustified3">
    <w:name w:val="Style 12 pt Justified3"/>
    <w:basedOn w:val="Normal"/>
    <w:rsid w:val="00741AEB"/>
  </w:style>
  <w:style w:type="paragraph" w:styleId="BalloonText">
    <w:name w:val="Balloon Text"/>
    <w:basedOn w:val="Normal"/>
    <w:link w:val="BalloonTextChar"/>
    <w:rsid w:val="00741AEB"/>
    <w:rPr>
      <w:rFonts w:ascii="Tahoma" w:hAnsi="Tahoma" w:cs="Tahoma"/>
      <w:sz w:val="16"/>
      <w:szCs w:val="16"/>
    </w:rPr>
  </w:style>
  <w:style w:type="character" w:customStyle="1" w:styleId="BalloonTextChar">
    <w:name w:val="Balloon Text Char"/>
    <w:basedOn w:val="DefaultParagraphFont"/>
    <w:link w:val="BalloonText"/>
    <w:rsid w:val="00741AEB"/>
    <w:rPr>
      <w:rFonts w:ascii="Tahoma" w:hAnsi="Tahoma" w:cs="Tahoma"/>
      <w:sz w:val="16"/>
      <w:szCs w:val="16"/>
      <w:lang w:eastAsia="en-US"/>
    </w:rPr>
  </w:style>
  <w:style w:type="paragraph" w:customStyle="1" w:styleId="StyleJustified">
    <w:name w:val="Style Justified"/>
    <w:basedOn w:val="Normal"/>
    <w:next w:val="Normal"/>
    <w:rsid w:val="00741AEB"/>
    <w:rPr>
      <w:szCs w:val="24"/>
    </w:rPr>
  </w:style>
  <w:style w:type="character" w:customStyle="1" w:styleId="HeaderChar">
    <w:name w:val="Header Char"/>
    <w:link w:val="Header"/>
    <w:uiPriority w:val="99"/>
    <w:rsid w:val="00741AEB"/>
    <w:rPr>
      <w:rFonts w:ascii="Arial" w:hAnsi="Arial"/>
      <w:sz w:val="24"/>
      <w:lang w:eastAsia="en-US"/>
    </w:rPr>
  </w:style>
  <w:style w:type="paragraph" w:customStyle="1" w:styleId="CharCharCharChar2">
    <w:name w:val="Char Char Char Char2"/>
    <w:basedOn w:val="Normal"/>
    <w:locked/>
    <w:rsid w:val="00741AEB"/>
    <w:pPr>
      <w:spacing w:after="160" w:line="240" w:lineRule="exact"/>
    </w:pPr>
    <w:rPr>
      <w:rFonts w:ascii="Verdana" w:eastAsia="MS ??" w:hAnsi="Verdana" w:cs="Verdana"/>
      <w:sz w:val="20"/>
      <w:lang w:val="en-US"/>
    </w:rPr>
  </w:style>
  <w:style w:type="paragraph" w:styleId="BodyText3">
    <w:name w:val="Body Text 3"/>
    <w:basedOn w:val="Normal"/>
    <w:link w:val="BodyText3Char"/>
    <w:rsid w:val="00741AEB"/>
    <w:pPr>
      <w:spacing w:after="120"/>
    </w:pPr>
    <w:rPr>
      <w:sz w:val="16"/>
      <w:szCs w:val="16"/>
    </w:rPr>
  </w:style>
  <w:style w:type="character" w:customStyle="1" w:styleId="BodyText3Char">
    <w:name w:val="Body Text 3 Char"/>
    <w:basedOn w:val="DefaultParagraphFont"/>
    <w:link w:val="BodyText3"/>
    <w:rsid w:val="00741AEB"/>
    <w:rPr>
      <w:rFonts w:ascii="Arial" w:hAnsi="Arial"/>
      <w:sz w:val="16"/>
      <w:szCs w:val="16"/>
      <w:lang w:eastAsia="en-US"/>
    </w:rPr>
  </w:style>
  <w:style w:type="paragraph" w:customStyle="1" w:styleId="CharCharCharCharCharCharCharChar1">
    <w:name w:val="Char Char Char Char Char Char Char Char1"/>
    <w:basedOn w:val="Normal"/>
    <w:rsid w:val="00741AEB"/>
    <w:pPr>
      <w:spacing w:after="160" w:line="240" w:lineRule="exact"/>
    </w:pPr>
    <w:rPr>
      <w:rFonts w:cs="Arial"/>
    </w:rPr>
  </w:style>
  <w:style w:type="character" w:styleId="FollowedHyperlink">
    <w:name w:val="FollowedHyperlink"/>
    <w:uiPriority w:val="99"/>
    <w:unhideWhenUsed/>
    <w:rsid w:val="00741AEB"/>
    <w:rPr>
      <w:color w:val="800080"/>
      <w:u w:val="single"/>
    </w:rPr>
  </w:style>
  <w:style w:type="paragraph" w:styleId="ListParagraph">
    <w:name w:val="List Paragraph"/>
    <w:basedOn w:val="Normal"/>
    <w:uiPriority w:val="34"/>
    <w:qFormat/>
    <w:rsid w:val="00741AEB"/>
    <w:pPr>
      <w:ind w:left="720"/>
    </w:pPr>
  </w:style>
  <w:style w:type="paragraph" w:customStyle="1" w:styleId="CharCharCharChar5">
    <w:name w:val="Char Char Char Char5"/>
    <w:basedOn w:val="Normal"/>
    <w:locked/>
    <w:rsid w:val="00741AEB"/>
    <w:pPr>
      <w:spacing w:after="160" w:line="240" w:lineRule="exact"/>
    </w:pPr>
    <w:rPr>
      <w:rFonts w:ascii="Verdana" w:hAnsi="Verdana"/>
      <w:sz w:val="20"/>
      <w:lang w:val="en-US"/>
    </w:rPr>
  </w:style>
  <w:style w:type="character" w:styleId="CommentReference">
    <w:name w:val="annotation reference"/>
    <w:rsid w:val="00741AEB"/>
    <w:rPr>
      <w:sz w:val="16"/>
      <w:szCs w:val="16"/>
    </w:rPr>
  </w:style>
  <w:style w:type="paragraph" w:styleId="CommentText">
    <w:name w:val="annotation text"/>
    <w:basedOn w:val="Normal"/>
    <w:link w:val="CommentTextChar"/>
    <w:rsid w:val="00741AEB"/>
    <w:rPr>
      <w:sz w:val="20"/>
    </w:rPr>
  </w:style>
  <w:style w:type="character" w:customStyle="1" w:styleId="CommentTextChar">
    <w:name w:val="Comment Text Char"/>
    <w:basedOn w:val="DefaultParagraphFont"/>
    <w:link w:val="CommentText"/>
    <w:rsid w:val="00741AEB"/>
    <w:rPr>
      <w:rFonts w:ascii="Arial" w:hAnsi="Arial"/>
      <w:lang w:eastAsia="en-US"/>
    </w:rPr>
  </w:style>
  <w:style w:type="paragraph" w:styleId="CommentSubject">
    <w:name w:val="annotation subject"/>
    <w:basedOn w:val="CommentText"/>
    <w:next w:val="CommentText"/>
    <w:link w:val="CommentSubjectChar"/>
    <w:rsid w:val="00741AEB"/>
    <w:rPr>
      <w:b/>
      <w:bCs/>
    </w:rPr>
  </w:style>
  <w:style w:type="character" w:customStyle="1" w:styleId="CommentSubjectChar">
    <w:name w:val="Comment Subject Char"/>
    <w:basedOn w:val="CommentTextChar"/>
    <w:link w:val="CommentSubject"/>
    <w:rsid w:val="00741AEB"/>
    <w:rPr>
      <w:rFonts w:ascii="Arial" w:hAnsi="Arial"/>
      <w:b/>
      <w:bCs/>
      <w:lang w:eastAsia="en-US"/>
    </w:rPr>
  </w:style>
  <w:style w:type="paragraph" w:customStyle="1" w:styleId="xl65">
    <w:name w:val="xl6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66">
    <w:name w:val="xl6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eastAsia="en-GB"/>
    </w:rPr>
  </w:style>
  <w:style w:type="paragraph" w:customStyle="1" w:styleId="xl67">
    <w:name w:val="xl67"/>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rFonts w:ascii="Times New Roman" w:hAnsi="Times New Roman"/>
      <w:b/>
      <w:bCs/>
      <w:sz w:val="20"/>
      <w:lang w:eastAsia="en-GB"/>
    </w:rPr>
  </w:style>
  <w:style w:type="paragraph" w:customStyle="1" w:styleId="xl68">
    <w:name w:val="xl68"/>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right"/>
    </w:pPr>
    <w:rPr>
      <w:rFonts w:ascii="Times New Roman" w:hAnsi="Times New Roman"/>
      <w:b/>
      <w:bCs/>
      <w:sz w:val="20"/>
      <w:lang w:eastAsia="en-GB"/>
    </w:rPr>
  </w:style>
  <w:style w:type="paragraph" w:customStyle="1" w:styleId="xl69">
    <w:name w:val="xl69"/>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szCs w:val="24"/>
      <w:lang w:eastAsia="en-GB"/>
    </w:rPr>
  </w:style>
  <w:style w:type="paragraph" w:customStyle="1" w:styleId="xl71">
    <w:name w:val="xl71"/>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sz w:val="20"/>
      <w:lang w:eastAsia="en-GB"/>
    </w:rPr>
  </w:style>
  <w:style w:type="paragraph" w:customStyle="1" w:styleId="xl72">
    <w:name w:val="xl7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3">
    <w:name w:val="xl7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74">
    <w:name w:val="xl7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5">
    <w:name w:val="xl7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6">
    <w:name w:val="xl7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7">
    <w:name w:val="xl77"/>
    <w:basedOn w:val="Normal"/>
    <w:rsid w:val="00741AE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Times New Roman" w:hAnsi="Times New Roman"/>
      <w:sz w:val="20"/>
      <w:lang w:eastAsia="en-GB"/>
    </w:rPr>
  </w:style>
  <w:style w:type="paragraph" w:customStyle="1" w:styleId="xl78">
    <w:name w:val="xl78"/>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79">
    <w:name w:val="xl79"/>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80">
    <w:name w:val="xl80"/>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1">
    <w:name w:val="xl81"/>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n-GB"/>
    </w:rPr>
  </w:style>
  <w:style w:type="paragraph" w:customStyle="1" w:styleId="xl82">
    <w:name w:val="xl8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741AEB"/>
    <w:pPr>
      <w:spacing w:before="100" w:beforeAutospacing="1" w:after="100" w:afterAutospacing="1"/>
    </w:pPr>
    <w:rPr>
      <w:rFonts w:ascii="Times New Roman" w:hAnsi="Times New Roman"/>
      <w:szCs w:val="24"/>
      <w:lang w:eastAsia="en-GB"/>
    </w:rPr>
  </w:style>
  <w:style w:type="paragraph" w:customStyle="1" w:styleId="xl84">
    <w:name w:val="xl8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5">
    <w:name w:val="xl8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6">
    <w:name w:val="xl8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87">
    <w:name w:val="xl87"/>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8">
    <w:name w:val="xl88"/>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89">
    <w:name w:val="xl89"/>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0">
    <w:name w:val="xl90"/>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lang w:eastAsia="en-GB"/>
    </w:rPr>
  </w:style>
  <w:style w:type="paragraph" w:customStyle="1" w:styleId="xl91">
    <w:name w:val="xl91"/>
    <w:basedOn w:val="Normal"/>
    <w:rsid w:val="00741AEB"/>
    <w:pPr>
      <w:spacing w:before="100" w:beforeAutospacing="1" w:after="100" w:afterAutospacing="1"/>
    </w:pPr>
    <w:rPr>
      <w:rFonts w:ascii="Times New Roman" w:hAnsi="Times New Roman"/>
      <w:b/>
      <w:bCs/>
      <w:szCs w:val="24"/>
      <w:lang w:eastAsia="en-GB"/>
    </w:rPr>
  </w:style>
  <w:style w:type="paragraph" w:customStyle="1" w:styleId="xl92">
    <w:name w:val="xl92"/>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hAnsi="Times New Roman"/>
      <w:sz w:val="20"/>
      <w:lang w:eastAsia="en-GB"/>
    </w:rPr>
  </w:style>
  <w:style w:type="paragraph" w:customStyle="1" w:styleId="xl93">
    <w:name w:val="xl93"/>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hAnsi="Times New Roman"/>
      <w:sz w:val="20"/>
      <w:lang w:eastAsia="en-GB"/>
    </w:rPr>
  </w:style>
  <w:style w:type="paragraph" w:customStyle="1" w:styleId="xl94">
    <w:name w:val="xl94"/>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sz w:val="20"/>
      <w:lang w:eastAsia="en-GB"/>
    </w:rPr>
  </w:style>
  <w:style w:type="paragraph" w:customStyle="1" w:styleId="xl95">
    <w:name w:val="xl95"/>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Times New Roman" w:hAnsi="Times New Roman"/>
      <w:szCs w:val="24"/>
      <w:lang w:eastAsia="en-GB"/>
    </w:rPr>
  </w:style>
  <w:style w:type="paragraph" w:customStyle="1" w:styleId="xl96">
    <w:name w:val="xl96"/>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hAnsi="Times New Roman"/>
      <w:szCs w:val="24"/>
      <w:lang w:eastAsia="en-GB"/>
    </w:rPr>
  </w:style>
  <w:style w:type="paragraph" w:customStyle="1" w:styleId="xl97">
    <w:name w:val="xl97"/>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Cs w:val="24"/>
      <w:lang w:eastAsia="en-GB"/>
    </w:rPr>
  </w:style>
  <w:style w:type="paragraph" w:customStyle="1" w:styleId="xl98">
    <w:name w:val="xl98"/>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lang w:eastAsia="en-GB"/>
    </w:rPr>
  </w:style>
  <w:style w:type="paragraph" w:customStyle="1" w:styleId="xl99">
    <w:name w:val="xl99"/>
    <w:basedOn w:val="Normal"/>
    <w:rsid w:val="00741AE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Times New Roman" w:hAnsi="Times New Roman"/>
      <w:sz w:val="20"/>
      <w:lang w:eastAsia="en-GB"/>
    </w:rPr>
  </w:style>
  <w:style w:type="paragraph" w:customStyle="1" w:styleId="xl100">
    <w:name w:val="xl10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b/>
      <w:bCs/>
      <w:sz w:val="20"/>
      <w:lang w:eastAsia="en-GB"/>
    </w:rPr>
  </w:style>
  <w:style w:type="paragraph" w:customStyle="1" w:styleId="xl101">
    <w:name w:val="xl101"/>
    <w:basedOn w:val="Normal"/>
    <w:rsid w:val="00741AEB"/>
    <w:pPr>
      <w:spacing w:before="100" w:beforeAutospacing="1" w:after="100" w:afterAutospacing="1"/>
    </w:pPr>
    <w:rPr>
      <w:rFonts w:ascii="Times New Roman" w:hAnsi="Times New Roman"/>
      <w:sz w:val="20"/>
      <w:lang w:eastAsia="en-GB"/>
    </w:rPr>
  </w:style>
  <w:style w:type="paragraph" w:customStyle="1" w:styleId="xl102">
    <w:name w:val="xl10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103">
    <w:name w:val="xl10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eastAsia="en-GB"/>
    </w:rPr>
  </w:style>
  <w:style w:type="paragraph" w:customStyle="1" w:styleId="xl104">
    <w:name w:val="xl104"/>
    <w:basedOn w:val="Normal"/>
    <w:rsid w:val="00741AE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105">
    <w:name w:val="xl105"/>
    <w:basedOn w:val="Normal"/>
    <w:rsid w:val="00741AE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CharCharCharChar4">
    <w:name w:val="Char Char Char Char4"/>
    <w:basedOn w:val="Normal"/>
    <w:locked/>
    <w:rsid w:val="00DC5AEC"/>
    <w:pPr>
      <w:spacing w:after="160" w:line="240" w:lineRule="exact"/>
    </w:pPr>
    <w:rPr>
      <w:rFonts w:ascii="Verdana" w:hAnsi="Verdana"/>
      <w:sz w:val="20"/>
      <w:lang w:val="en-US"/>
    </w:rPr>
  </w:style>
  <w:style w:type="paragraph" w:styleId="Revision">
    <w:name w:val="Revision"/>
    <w:hidden/>
    <w:uiPriority w:val="99"/>
    <w:semiHidden/>
    <w:rsid w:val="00F71F33"/>
    <w:rPr>
      <w:rFonts w:ascii="Arial" w:hAnsi="Arial"/>
      <w:sz w:val="24"/>
      <w:lang w:eastAsia="en-US"/>
    </w:rPr>
  </w:style>
  <w:style w:type="paragraph" w:customStyle="1" w:styleId="Default">
    <w:name w:val="Default"/>
    <w:rsid w:val="0062479E"/>
    <w:pPr>
      <w:autoSpaceDE w:val="0"/>
      <w:autoSpaceDN w:val="0"/>
      <w:adjustRightInd w:val="0"/>
    </w:pPr>
    <w:rPr>
      <w:rFonts w:ascii="Arial" w:eastAsia="Calibri" w:hAnsi="Arial" w:cs="Arial"/>
      <w:color w:val="000000"/>
      <w:sz w:val="24"/>
      <w:szCs w:val="24"/>
    </w:rPr>
  </w:style>
  <w:style w:type="paragraph" w:customStyle="1" w:styleId="CharCharCharChar3">
    <w:name w:val="Char Char Char Char3"/>
    <w:basedOn w:val="Normal"/>
    <w:locked/>
    <w:rsid w:val="00E121EB"/>
    <w:pPr>
      <w:spacing w:after="160" w:line="240" w:lineRule="exact"/>
    </w:pPr>
    <w:rPr>
      <w:rFonts w:ascii="Verdana" w:hAnsi="Verdana"/>
      <w:sz w:val="20"/>
      <w:lang w:val="en-US"/>
    </w:rPr>
  </w:style>
  <w:style w:type="paragraph" w:customStyle="1" w:styleId="CharCharCharChar1">
    <w:name w:val="Char Char Char Char1"/>
    <w:basedOn w:val="Normal"/>
    <w:locked/>
    <w:rsid w:val="00E662CB"/>
    <w:pPr>
      <w:spacing w:after="160" w:line="240" w:lineRule="exact"/>
    </w:pPr>
    <w:rPr>
      <w:rFonts w:ascii="Verdana" w:hAnsi="Verdana"/>
      <w:sz w:val="20"/>
      <w:lang w:val="en-US"/>
    </w:rPr>
  </w:style>
  <w:style w:type="character" w:styleId="LineNumber">
    <w:name w:val="line number"/>
    <w:basedOn w:val="DefaultParagraphFont"/>
    <w:rsid w:val="00D73C5B"/>
  </w:style>
  <w:style w:type="paragraph" w:customStyle="1" w:styleId="CharCharCharChar6">
    <w:name w:val="Char Char Char Char6"/>
    <w:basedOn w:val="Normal"/>
    <w:locked/>
    <w:rsid w:val="005A04AE"/>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22F"/>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741AEB"/>
    <w:pPr>
      <w:keepNext/>
      <w:outlineLvl w:val="4"/>
    </w:pPr>
    <w:rPr>
      <w:rFonts w:cs="Arial"/>
      <w:sz w:val="28"/>
    </w:rPr>
  </w:style>
  <w:style w:type="paragraph" w:styleId="Heading6">
    <w:name w:val="heading 6"/>
    <w:basedOn w:val="Normal"/>
    <w:next w:val="Normal"/>
    <w:link w:val="Heading6Char"/>
    <w:qFormat/>
    <w:rsid w:val="00741AEB"/>
    <w:pPr>
      <w:keepNext/>
      <w:ind w:left="720" w:hanging="720"/>
      <w:outlineLvl w:val="5"/>
    </w:pPr>
    <w:rPr>
      <w:rFonts w:cs="Arial"/>
      <w:b/>
      <w:bCs/>
      <w:sz w:val="28"/>
      <w:szCs w:val="24"/>
    </w:rPr>
  </w:style>
  <w:style w:type="paragraph" w:styleId="Heading7">
    <w:name w:val="heading 7"/>
    <w:basedOn w:val="Normal"/>
    <w:next w:val="Normal"/>
    <w:link w:val="Heading7Char"/>
    <w:qFormat/>
    <w:rsid w:val="00741AEB"/>
    <w:pPr>
      <w:keepNext/>
      <w:ind w:left="720" w:hanging="720"/>
      <w:jc w:val="both"/>
      <w:outlineLvl w:val="6"/>
    </w:pPr>
    <w:rPr>
      <w:rFonts w:cs="Arial"/>
      <w:i/>
      <w:iCs/>
    </w:rPr>
  </w:style>
  <w:style w:type="paragraph" w:styleId="Heading8">
    <w:name w:val="heading 8"/>
    <w:basedOn w:val="Normal"/>
    <w:next w:val="Normal"/>
    <w:link w:val="Heading8Char"/>
    <w:qFormat/>
    <w:rsid w:val="00741AEB"/>
    <w:pPr>
      <w:keepNext/>
      <w:ind w:left="720" w:hanging="720"/>
      <w:outlineLvl w:val="7"/>
    </w:pPr>
    <w:rPr>
      <w:rFonts w:cs="Arial"/>
      <w:i/>
      <w:iCs/>
    </w:rPr>
  </w:style>
  <w:style w:type="paragraph" w:styleId="Heading9">
    <w:name w:val="heading 9"/>
    <w:basedOn w:val="Normal"/>
    <w:next w:val="Normal"/>
    <w:link w:val="Heading9Char"/>
    <w:qFormat/>
    <w:rsid w:val="00741AEB"/>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5Char">
    <w:name w:val="Heading 5 Char"/>
    <w:basedOn w:val="DefaultParagraphFont"/>
    <w:link w:val="Heading5"/>
    <w:rsid w:val="00741AEB"/>
    <w:rPr>
      <w:rFonts w:ascii="Arial" w:hAnsi="Arial" w:cs="Arial"/>
      <w:sz w:val="28"/>
      <w:lang w:eastAsia="en-US"/>
    </w:rPr>
  </w:style>
  <w:style w:type="character" w:customStyle="1" w:styleId="Heading6Char">
    <w:name w:val="Heading 6 Char"/>
    <w:basedOn w:val="DefaultParagraphFont"/>
    <w:link w:val="Heading6"/>
    <w:rsid w:val="00741AEB"/>
    <w:rPr>
      <w:rFonts w:ascii="Arial" w:hAnsi="Arial" w:cs="Arial"/>
      <w:b/>
      <w:bCs/>
      <w:sz w:val="28"/>
      <w:szCs w:val="24"/>
      <w:lang w:eastAsia="en-US"/>
    </w:rPr>
  </w:style>
  <w:style w:type="character" w:customStyle="1" w:styleId="Heading7Char">
    <w:name w:val="Heading 7 Char"/>
    <w:basedOn w:val="DefaultParagraphFont"/>
    <w:link w:val="Heading7"/>
    <w:rsid w:val="00741AEB"/>
    <w:rPr>
      <w:rFonts w:ascii="Arial" w:hAnsi="Arial" w:cs="Arial"/>
      <w:i/>
      <w:iCs/>
      <w:sz w:val="24"/>
      <w:lang w:eastAsia="en-US"/>
    </w:rPr>
  </w:style>
  <w:style w:type="character" w:customStyle="1" w:styleId="Heading8Char">
    <w:name w:val="Heading 8 Char"/>
    <w:basedOn w:val="DefaultParagraphFont"/>
    <w:link w:val="Heading8"/>
    <w:rsid w:val="00741AEB"/>
    <w:rPr>
      <w:rFonts w:ascii="Arial" w:hAnsi="Arial" w:cs="Arial"/>
      <w:i/>
      <w:iCs/>
      <w:sz w:val="24"/>
      <w:lang w:eastAsia="en-US"/>
    </w:rPr>
  </w:style>
  <w:style w:type="character" w:customStyle="1" w:styleId="Heading9Char">
    <w:name w:val="Heading 9 Char"/>
    <w:basedOn w:val="DefaultParagraphFont"/>
    <w:link w:val="Heading9"/>
    <w:rsid w:val="00741AEB"/>
    <w:rPr>
      <w:rFonts w:ascii="Arial" w:hAnsi="Arial" w:cs="Arial"/>
      <w:sz w:val="24"/>
      <w:lang w:eastAsia="en-US"/>
    </w:rPr>
  </w:style>
  <w:style w:type="character" w:customStyle="1" w:styleId="FooterChar">
    <w:name w:val="Footer Char"/>
    <w:link w:val="Footer"/>
    <w:uiPriority w:val="99"/>
    <w:rsid w:val="00741AEB"/>
    <w:rPr>
      <w:rFonts w:ascii="Arial" w:hAnsi="Arial"/>
      <w:sz w:val="24"/>
      <w:szCs w:val="24"/>
      <w:lang w:val="en-US" w:eastAsia="en-US"/>
    </w:rPr>
  </w:style>
  <w:style w:type="paragraph" w:styleId="DocumentMap">
    <w:name w:val="Document Map"/>
    <w:basedOn w:val="Normal"/>
    <w:link w:val="DocumentMapChar"/>
    <w:rsid w:val="00741AEB"/>
    <w:pPr>
      <w:shd w:val="clear" w:color="auto" w:fill="000080"/>
    </w:pPr>
    <w:rPr>
      <w:rFonts w:ascii="Tahoma" w:hAnsi="Tahoma" w:cs="Tahoma"/>
    </w:rPr>
  </w:style>
  <w:style w:type="character" w:customStyle="1" w:styleId="DocumentMapChar">
    <w:name w:val="Document Map Char"/>
    <w:basedOn w:val="DefaultParagraphFont"/>
    <w:link w:val="DocumentMap"/>
    <w:rsid w:val="00741AEB"/>
    <w:rPr>
      <w:rFonts w:ascii="Tahoma" w:hAnsi="Tahoma" w:cs="Tahoma"/>
      <w:sz w:val="24"/>
      <w:shd w:val="clear" w:color="auto" w:fill="000080"/>
      <w:lang w:eastAsia="en-US"/>
    </w:rPr>
  </w:style>
  <w:style w:type="character" w:customStyle="1" w:styleId="Heading3Char">
    <w:name w:val="Heading 3 Char"/>
    <w:rsid w:val="00741AEB"/>
    <w:rPr>
      <w:rFonts w:ascii="Arial" w:hAnsi="Arial" w:cs="Arial"/>
      <w:b/>
      <w:bCs/>
      <w:i/>
      <w:sz w:val="24"/>
      <w:szCs w:val="28"/>
      <w:lang w:val="en-GB" w:eastAsia="en-US" w:bidi="ar-SA"/>
    </w:rPr>
  </w:style>
  <w:style w:type="paragraph" w:customStyle="1" w:styleId="Style12ptJustified">
    <w:name w:val="Style 12 pt Justified"/>
    <w:basedOn w:val="Normal"/>
    <w:rsid w:val="00741AEB"/>
  </w:style>
  <w:style w:type="paragraph" w:customStyle="1" w:styleId="Style12ptLinespacing15lines">
    <w:name w:val="Style 12 pt Line spacing:  1.5 lines"/>
    <w:basedOn w:val="Normal"/>
    <w:rsid w:val="00741AEB"/>
  </w:style>
  <w:style w:type="paragraph" w:customStyle="1" w:styleId="Style12ptJustified1">
    <w:name w:val="Style 12 pt Justified1"/>
    <w:basedOn w:val="Normal"/>
    <w:rsid w:val="00741AEB"/>
  </w:style>
  <w:style w:type="paragraph" w:customStyle="1" w:styleId="Style12ptJustified2">
    <w:name w:val="Style 12 pt Justified2"/>
    <w:basedOn w:val="Normal"/>
    <w:rsid w:val="00741AEB"/>
  </w:style>
  <w:style w:type="paragraph" w:customStyle="1" w:styleId="Style12ptJustified3">
    <w:name w:val="Style 12 pt Justified3"/>
    <w:basedOn w:val="Normal"/>
    <w:rsid w:val="00741AEB"/>
  </w:style>
  <w:style w:type="paragraph" w:styleId="BalloonText">
    <w:name w:val="Balloon Text"/>
    <w:basedOn w:val="Normal"/>
    <w:link w:val="BalloonTextChar"/>
    <w:rsid w:val="00741AEB"/>
    <w:rPr>
      <w:rFonts w:ascii="Tahoma" w:hAnsi="Tahoma" w:cs="Tahoma"/>
      <w:sz w:val="16"/>
      <w:szCs w:val="16"/>
    </w:rPr>
  </w:style>
  <w:style w:type="character" w:customStyle="1" w:styleId="BalloonTextChar">
    <w:name w:val="Balloon Text Char"/>
    <w:basedOn w:val="DefaultParagraphFont"/>
    <w:link w:val="BalloonText"/>
    <w:rsid w:val="00741AEB"/>
    <w:rPr>
      <w:rFonts w:ascii="Tahoma" w:hAnsi="Tahoma" w:cs="Tahoma"/>
      <w:sz w:val="16"/>
      <w:szCs w:val="16"/>
      <w:lang w:eastAsia="en-US"/>
    </w:rPr>
  </w:style>
  <w:style w:type="paragraph" w:customStyle="1" w:styleId="StyleJustified">
    <w:name w:val="Style Justified"/>
    <w:basedOn w:val="Normal"/>
    <w:next w:val="Normal"/>
    <w:rsid w:val="00741AEB"/>
    <w:rPr>
      <w:szCs w:val="24"/>
    </w:rPr>
  </w:style>
  <w:style w:type="character" w:customStyle="1" w:styleId="HeaderChar">
    <w:name w:val="Header Char"/>
    <w:link w:val="Header"/>
    <w:uiPriority w:val="99"/>
    <w:rsid w:val="00741AEB"/>
    <w:rPr>
      <w:rFonts w:ascii="Arial" w:hAnsi="Arial"/>
      <w:sz w:val="24"/>
      <w:lang w:eastAsia="en-US"/>
    </w:rPr>
  </w:style>
  <w:style w:type="paragraph" w:customStyle="1" w:styleId="CharCharCharChar2">
    <w:name w:val="Char Char Char Char2"/>
    <w:basedOn w:val="Normal"/>
    <w:locked/>
    <w:rsid w:val="00741AEB"/>
    <w:pPr>
      <w:spacing w:after="160" w:line="240" w:lineRule="exact"/>
    </w:pPr>
    <w:rPr>
      <w:rFonts w:ascii="Verdana" w:eastAsia="MS ??" w:hAnsi="Verdana" w:cs="Verdana"/>
      <w:sz w:val="20"/>
      <w:lang w:val="en-US"/>
    </w:rPr>
  </w:style>
  <w:style w:type="paragraph" w:styleId="BodyText3">
    <w:name w:val="Body Text 3"/>
    <w:basedOn w:val="Normal"/>
    <w:link w:val="BodyText3Char"/>
    <w:rsid w:val="00741AEB"/>
    <w:pPr>
      <w:spacing w:after="120"/>
    </w:pPr>
    <w:rPr>
      <w:sz w:val="16"/>
      <w:szCs w:val="16"/>
    </w:rPr>
  </w:style>
  <w:style w:type="character" w:customStyle="1" w:styleId="BodyText3Char">
    <w:name w:val="Body Text 3 Char"/>
    <w:basedOn w:val="DefaultParagraphFont"/>
    <w:link w:val="BodyText3"/>
    <w:rsid w:val="00741AEB"/>
    <w:rPr>
      <w:rFonts w:ascii="Arial" w:hAnsi="Arial"/>
      <w:sz w:val="16"/>
      <w:szCs w:val="16"/>
      <w:lang w:eastAsia="en-US"/>
    </w:rPr>
  </w:style>
  <w:style w:type="paragraph" w:customStyle="1" w:styleId="CharCharCharCharCharCharCharChar1">
    <w:name w:val="Char Char Char Char Char Char Char Char1"/>
    <w:basedOn w:val="Normal"/>
    <w:rsid w:val="00741AEB"/>
    <w:pPr>
      <w:spacing w:after="160" w:line="240" w:lineRule="exact"/>
    </w:pPr>
    <w:rPr>
      <w:rFonts w:cs="Arial"/>
    </w:rPr>
  </w:style>
  <w:style w:type="character" w:styleId="FollowedHyperlink">
    <w:name w:val="FollowedHyperlink"/>
    <w:uiPriority w:val="99"/>
    <w:unhideWhenUsed/>
    <w:rsid w:val="00741AEB"/>
    <w:rPr>
      <w:color w:val="800080"/>
      <w:u w:val="single"/>
    </w:rPr>
  </w:style>
  <w:style w:type="paragraph" w:styleId="ListParagraph">
    <w:name w:val="List Paragraph"/>
    <w:basedOn w:val="Normal"/>
    <w:uiPriority w:val="34"/>
    <w:qFormat/>
    <w:rsid w:val="00741AEB"/>
    <w:pPr>
      <w:ind w:left="720"/>
    </w:pPr>
  </w:style>
  <w:style w:type="paragraph" w:customStyle="1" w:styleId="CharCharCharChar5">
    <w:name w:val="Char Char Char Char5"/>
    <w:basedOn w:val="Normal"/>
    <w:locked/>
    <w:rsid w:val="00741AEB"/>
    <w:pPr>
      <w:spacing w:after="160" w:line="240" w:lineRule="exact"/>
    </w:pPr>
    <w:rPr>
      <w:rFonts w:ascii="Verdana" w:hAnsi="Verdana"/>
      <w:sz w:val="20"/>
      <w:lang w:val="en-US"/>
    </w:rPr>
  </w:style>
  <w:style w:type="character" w:styleId="CommentReference">
    <w:name w:val="annotation reference"/>
    <w:rsid w:val="00741AEB"/>
    <w:rPr>
      <w:sz w:val="16"/>
      <w:szCs w:val="16"/>
    </w:rPr>
  </w:style>
  <w:style w:type="paragraph" w:styleId="CommentText">
    <w:name w:val="annotation text"/>
    <w:basedOn w:val="Normal"/>
    <w:link w:val="CommentTextChar"/>
    <w:rsid w:val="00741AEB"/>
    <w:rPr>
      <w:sz w:val="20"/>
    </w:rPr>
  </w:style>
  <w:style w:type="character" w:customStyle="1" w:styleId="CommentTextChar">
    <w:name w:val="Comment Text Char"/>
    <w:basedOn w:val="DefaultParagraphFont"/>
    <w:link w:val="CommentText"/>
    <w:rsid w:val="00741AEB"/>
    <w:rPr>
      <w:rFonts w:ascii="Arial" w:hAnsi="Arial"/>
      <w:lang w:eastAsia="en-US"/>
    </w:rPr>
  </w:style>
  <w:style w:type="paragraph" w:styleId="CommentSubject">
    <w:name w:val="annotation subject"/>
    <w:basedOn w:val="CommentText"/>
    <w:next w:val="CommentText"/>
    <w:link w:val="CommentSubjectChar"/>
    <w:rsid w:val="00741AEB"/>
    <w:rPr>
      <w:b/>
      <w:bCs/>
    </w:rPr>
  </w:style>
  <w:style w:type="character" w:customStyle="1" w:styleId="CommentSubjectChar">
    <w:name w:val="Comment Subject Char"/>
    <w:basedOn w:val="CommentTextChar"/>
    <w:link w:val="CommentSubject"/>
    <w:rsid w:val="00741AEB"/>
    <w:rPr>
      <w:rFonts w:ascii="Arial" w:hAnsi="Arial"/>
      <w:b/>
      <w:bCs/>
      <w:lang w:eastAsia="en-US"/>
    </w:rPr>
  </w:style>
  <w:style w:type="paragraph" w:customStyle="1" w:styleId="xl65">
    <w:name w:val="xl6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66">
    <w:name w:val="xl6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0"/>
      <w:lang w:eastAsia="en-GB"/>
    </w:rPr>
  </w:style>
  <w:style w:type="paragraph" w:customStyle="1" w:styleId="xl67">
    <w:name w:val="xl67"/>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pPr>
    <w:rPr>
      <w:rFonts w:ascii="Times New Roman" w:hAnsi="Times New Roman"/>
      <w:b/>
      <w:bCs/>
      <w:sz w:val="20"/>
      <w:lang w:eastAsia="en-GB"/>
    </w:rPr>
  </w:style>
  <w:style w:type="paragraph" w:customStyle="1" w:styleId="xl68">
    <w:name w:val="xl68"/>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right"/>
    </w:pPr>
    <w:rPr>
      <w:rFonts w:ascii="Times New Roman" w:hAnsi="Times New Roman"/>
      <w:b/>
      <w:bCs/>
      <w:sz w:val="20"/>
      <w:lang w:eastAsia="en-GB"/>
    </w:rPr>
  </w:style>
  <w:style w:type="paragraph" w:customStyle="1" w:styleId="xl69">
    <w:name w:val="xl69"/>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b/>
      <w:bCs/>
      <w:sz w:val="20"/>
      <w:lang w:eastAsia="en-GB"/>
    </w:rPr>
  </w:style>
  <w:style w:type="paragraph" w:customStyle="1" w:styleId="xl70">
    <w:name w:val="xl7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szCs w:val="24"/>
      <w:lang w:eastAsia="en-GB"/>
    </w:rPr>
  </w:style>
  <w:style w:type="paragraph" w:customStyle="1" w:styleId="xl71">
    <w:name w:val="xl71"/>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pPr>
    <w:rPr>
      <w:rFonts w:ascii="Times New Roman" w:hAnsi="Times New Roman"/>
      <w:sz w:val="20"/>
      <w:lang w:eastAsia="en-GB"/>
    </w:rPr>
  </w:style>
  <w:style w:type="paragraph" w:customStyle="1" w:styleId="xl72">
    <w:name w:val="xl7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3">
    <w:name w:val="xl7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74">
    <w:name w:val="xl7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5">
    <w:name w:val="xl7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6">
    <w:name w:val="xl7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77">
    <w:name w:val="xl77"/>
    <w:basedOn w:val="Normal"/>
    <w:rsid w:val="00741AE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Times New Roman" w:hAnsi="Times New Roman"/>
      <w:sz w:val="20"/>
      <w:lang w:eastAsia="en-GB"/>
    </w:rPr>
  </w:style>
  <w:style w:type="paragraph" w:customStyle="1" w:styleId="xl78">
    <w:name w:val="xl78"/>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79">
    <w:name w:val="xl79"/>
    <w:basedOn w:val="Normal"/>
    <w:rsid w:val="00741AE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 w:val="20"/>
      <w:lang w:eastAsia="en-GB"/>
    </w:rPr>
  </w:style>
  <w:style w:type="paragraph" w:customStyle="1" w:styleId="xl80">
    <w:name w:val="xl80"/>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1">
    <w:name w:val="xl81"/>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lang w:eastAsia="en-GB"/>
    </w:rPr>
  </w:style>
  <w:style w:type="paragraph" w:customStyle="1" w:styleId="xl82">
    <w:name w:val="xl8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eastAsia="en-GB"/>
    </w:rPr>
  </w:style>
  <w:style w:type="paragraph" w:customStyle="1" w:styleId="xl83">
    <w:name w:val="xl83"/>
    <w:basedOn w:val="Normal"/>
    <w:rsid w:val="00741AEB"/>
    <w:pPr>
      <w:spacing w:before="100" w:beforeAutospacing="1" w:after="100" w:afterAutospacing="1"/>
    </w:pPr>
    <w:rPr>
      <w:rFonts w:ascii="Times New Roman" w:hAnsi="Times New Roman"/>
      <w:szCs w:val="24"/>
      <w:lang w:eastAsia="en-GB"/>
    </w:rPr>
  </w:style>
  <w:style w:type="paragraph" w:customStyle="1" w:styleId="xl84">
    <w:name w:val="xl84"/>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5">
    <w:name w:val="xl85"/>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en-GB"/>
    </w:rPr>
  </w:style>
  <w:style w:type="paragraph" w:customStyle="1" w:styleId="xl86">
    <w:name w:val="xl86"/>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87">
    <w:name w:val="xl87"/>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0"/>
      <w:lang w:eastAsia="en-GB"/>
    </w:rPr>
  </w:style>
  <w:style w:type="paragraph" w:customStyle="1" w:styleId="xl88">
    <w:name w:val="xl88"/>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89">
    <w:name w:val="xl89"/>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eastAsia="en-GB"/>
    </w:rPr>
  </w:style>
  <w:style w:type="paragraph" w:customStyle="1" w:styleId="xl90">
    <w:name w:val="xl90"/>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20"/>
      <w:lang w:eastAsia="en-GB"/>
    </w:rPr>
  </w:style>
  <w:style w:type="paragraph" w:customStyle="1" w:styleId="xl91">
    <w:name w:val="xl91"/>
    <w:basedOn w:val="Normal"/>
    <w:rsid w:val="00741AEB"/>
    <w:pPr>
      <w:spacing w:before="100" w:beforeAutospacing="1" w:after="100" w:afterAutospacing="1"/>
    </w:pPr>
    <w:rPr>
      <w:rFonts w:ascii="Times New Roman" w:hAnsi="Times New Roman"/>
      <w:b/>
      <w:bCs/>
      <w:szCs w:val="24"/>
      <w:lang w:eastAsia="en-GB"/>
    </w:rPr>
  </w:style>
  <w:style w:type="paragraph" w:customStyle="1" w:styleId="xl92">
    <w:name w:val="xl92"/>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ascii="Times New Roman" w:hAnsi="Times New Roman"/>
      <w:sz w:val="20"/>
      <w:lang w:eastAsia="en-GB"/>
    </w:rPr>
  </w:style>
  <w:style w:type="paragraph" w:customStyle="1" w:styleId="xl93">
    <w:name w:val="xl93"/>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Times New Roman" w:hAnsi="Times New Roman"/>
      <w:sz w:val="20"/>
      <w:lang w:eastAsia="en-GB"/>
    </w:rPr>
  </w:style>
  <w:style w:type="paragraph" w:customStyle="1" w:styleId="xl94">
    <w:name w:val="xl94"/>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hAnsi="Times New Roman"/>
      <w:sz w:val="20"/>
      <w:lang w:eastAsia="en-GB"/>
    </w:rPr>
  </w:style>
  <w:style w:type="paragraph" w:customStyle="1" w:styleId="xl95">
    <w:name w:val="xl95"/>
    <w:basedOn w:val="Normal"/>
    <w:rsid w:val="00741AE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Times New Roman" w:hAnsi="Times New Roman"/>
      <w:szCs w:val="24"/>
      <w:lang w:eastAsia="en-GB"/>
    </w:rPr>
  </w:style>
  <w:style w:type="paragraph" w:customStyle="1" w:styleId="xl96">
    <w:name w:val="xl96"/>
    <w:basedOn w:val="Normal"/>
    <w:rsid w:val="00741AE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hAnsi="Times New Roman"/>
      <w:szCs w:val="24"/>
      <w:lang w:eastAsia="en-GB"/>
    </w:rPr>
  </w:style>
  <w:style w:type="paragraph" w:customStyle="1" w:styleId="xl97">
    <w:name w:val="xl97"/>
    <w:basedOn w:val="Normal"/>
    <w:rsid w:val="00741AE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hAnsi="Times New Roman"/>
      <w:szCs w:val="24"/>
      <w:lang w:eastAsia="en-GB"/>
    </w:rPr>
  </w:style>
  <w:style w:type="paragraph" w:customStyle="1" w:styleId="xl98">
    <w:name w:val="xl98"/>
    <w:basedOn w:val="Normal"/>
    <w:rsid w:val="00741A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lang w:eastAsia="en-GB"/>
    </w:rPr>
  </w:style>
  <w:style w:type="paragraph" w:customStyle="1" w:styleId="xl99">
    <w:name w:val="xl99"/>
    <w:basedOn w:val="Normal"/>
    <w:rsid w:val="00741AEB"/>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Times New Roman" w:hAnsi="Times New Roman"/>
      <w:sz w:val="20"/>
      <w:lang w:eastAsia="en-GB"/>
    </w:rPr>
  </w:style>
  <w:style w:type="paragraph" w:customStyle="1" w:styleId="xl100">
    <w:name w:val="xl100"/>
    <w:basedOn w:val="Normal"/>
    <w:rsid w:val="00741AEB"/>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top"/>
    </w:pPr>
    <w:rPr>
      <w:rFonts w:ascii="Times New Roman" w:hAnsi="Times New Roman"/>
      <w:b/>
      <w:bCs/>
      <w:sz w:val="20"/>
      <w:lang w:eastAsia="en-GB"/>
    </w:rPr>
  </w:style>
  <w:style w:type="paragraph" w:customStyle="1" w:styleId="xl101">
    <w:name w:val="xl101"/>
    <w:basedOn w:val="Normal"/>
    <w:rsid w:val="00741AEB"/>
    <w:pPr>
      <w:spacing w:before="100" w:beforeAutospacing="1" w:after="100" w:afterAutospacing="1"/>
    </w:pPr>
    <w:rPr>
      <w:rFonts w:ascii="Times New Roman" w:hAnsi="Times New Roman"/>
      <w:sz w:val="20"/>
      <w:lang w:eastAsia="en-GB"/>
    </w:rPr>
  </w:style>
  <w:style w:type="paragraph" w:customStyle="1" w:styleId="xl102">
    <w:name w:val="xl102"/>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lang w:eastAsia="en-GB"/>
    </w:rPr>
  </w:style>
  <w:style w:type="paragraph" w:customStyle="1" w:styleId="xl103">
    <w:name w:val="xl103"/>
    <w:basedOn w:val="Normal"/>
    <w:rsid w:val="00741A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lang w:eastAsia="en-GB"/>
    </w:rPr>
  </w:style>
  <w:style w:type="paragraph" w:customStyle="1" w:styleId="xl104">
    <w:name w:val="xl104"/>
    <w:basedOn w:val="Normal"/>
    <w:rsid w:val="00741AE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xl105">
    <w:name w:val="xl105"/>
    <w:basedOn w:val="Normal"/>
    <w:rsid w:val="00741AE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lang w:eastAsia="en-GB"/>
    </w:rPr>
  </w:style>
  <w:style w:type="paragraph" w:customStyle="1" w:styleId="CharCharCharChar4">
    <w:name w:val="Char Char Char Char4"/>
    <w:basedOn w:val="Normal"/>
    <w:locked/>
    <w:rsid w:val="00DC5AEC"/>
    <w:pPr>
      <w:spacing w:after="160" w:line="240" w:lineRule="exact"/>
    </w:pPr>
    <w:rPr>
      <w:rFonts w:ascii="Verdana" w:hAnsi="Verdana"/>
      <w:sz w:val="20"/>
      <w:lang w:val="en-US"/>
    </w:rPr>
  </w:style>
  <w:style w:type="paragraph" w:styleId="Revision">
    <w:name w:val="Revision"/>
    <w:hidden/>
    <w:uiPriority w:val="99"/>
    <w:semiHidden/>
    <w:rsid w:val="00F71F33"/>
    <w:rPr>
      <w:rFonts w:ascii="Arial" w:hAnsi="Arial"/>
      <w:sz w:val="24"/>
      <w:lang w:eastAsia="en-US"/>
    </w:rPr>
  </w:style>
  <w:style w:type="paragraph" w:customStyle="1" w:styleId="Default">
    <w:name w:val="Default"/>
    <w:rsid w:val="0062479E"/>
    <w:pPr>
      <w:autoSpaceDE w:val="0"/>
      <w:autoSpaceDN w:val="0"/>
      <w:adjustRightInd w:val="0"/>
    </w:pPr>
    <w:rPr>
      <w:rFonts w:ascii="Arial" w:eastAsia="Calibri" w:hAnsi="Arial" w:cs="Arial"/>
      <w:color w:val="000000"/>
      <w:sz w:val="24"/>
      <w:szCs w:val="24"/>
    </w:rPr>
  </w:style>
  <w:style w:type="paragraph" w:customStyle="1" w:styleId="CharCharCharChar3">
    <w:name w:val="Char Char Char Char3"/>
    <w:basedOn w:val="Normal"/>
    <w:locked/>
    <w:rsid w:val="00E121EB"/>
    <w:pPr>
      <w:spacing w:after="160" w:line="240" w:lineRule="exact"/>
    </w:pPr>
    <w:rPr>
      <w:rFonts w:ascii="Verdana" w:hAnsi="Verdana"/>
      <w:sz w:val="20"/>
      <w:lang w:val="en-US"/>
    </w:rPr>
  </w:style>
  <w:style w:type="paragraph" w:customStyle="1" w:styleId="CharCharCharChar1">
    <w:name w:val="Char Char Char Char1"/>
    <w:basedOn w:val="Normal"/>
    <w:locked/>
    <w:rsid w:val="00E662CB"/>
    <w:pPr>
      <w:spacing w:after="160" w:line="240" w:lineRule="exact"/>
    </w:pPr>
    <w:rPr>
      <w:rFonts w:ascii="Verdana" w:hAnsi="Verdana"/>
      <w:sz w:val="20"/>
      <w:lang w:val="en-US"/>
    </w:rPr>
  </w:style>
  <w:style w:type="character" w:styleId="LineNumber">
    <w:name w:val="line number"/>
    <w:basedOn w:val="DefaultParagraphFont"/>
    <w:rsid w:val="00D73C5B"/>
  </w:style>
  <w:style w:type="paragraph" w:customStyle="1" w:styleId="CharCharCharChar6">
    <w:name w:val="Char Char Char Char6"/>
    <w:basedOn w:val="Normal"/>
    <w:locked/>
    <w:rsid w:val="005A04AE"/>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036">
      <w:bodyDiv w:val="1"/>
      <w:marLeft w:val="0"/>
      <w:marRight w:val="0"/>
      <w:marTop w:val="0"/>
      <w:marBottom w:val="0"/>
      <w:divBdr>
        <w:top w:val="none" w:sz="0" w:space="0" w:color="auto"/>
        <w:left w:val="none" w:sz="0" w:space="0" w:color="auto"/>
        <w:bottom w:val="none" w:sz="0" w:space="0" w:color="auto"/>
        <w:right w:val="none" w:sz="0" w:space="0" w:color="auto"/>
      </w:divBdr>
    </w:div>
    <w:div w:id="29959124">
      <w:bodyDiv w:val="1"/>
      <w:marLeft w:val="0"/>
      <w:marRight w:val="0"/>
      <w:marTop w:val="0"/>
      <w:marBottom w:val="0"/>
      <w:divBdr>
        <w:top w:val="none" w:sz="0" w:space="0" w:color="auto"/>
        <w:left w:val="none" w:sz="0" w:space="0" w:color="auto"/>
        <w:bottom w:val="none" w:sz="0" w:space="0" w:color="auto"/>
        <w:right w:val="none" w:sz="0" w:space="0" w:color="auto"/>
      </w:divBdr>
    </w:div>
    <w:div w:id="30808353">
      <w:bodyDiv w:val="1"/>
      <w:marLeft w:val="0"/>
      <w:marRight w:val="0"/>
      <w:marTop w:val="0"/>
      <w:marBottom w:val="0"/>
      <w:divBdr>
        <w:top w:val="none" w:sz="0" w:space="0" w:color="auto"/>
        <w:left w:val="none" w:sz="0" w:space="0" w:color="auto"/>
        <w:bottom w:val="none" w:sz="0" w:space="0" w:color="auto"/>
        <w:right w:val="none" w:sz="0" w:space="0" w:color="auto"/>
      </w:divBdr>
    </w:div>
    <w:div w:id="49160106">
      <w:bodyDiv w:val="1"/>
      <w:marLeft w:val="0"/>
      <w:marRight w:val="0"/>
      <w:marTop w:val="0"/>
      <w:marBottom w:val="0"/>
      <w:divBdr>
        <w:top w:val="none" w:sz="0" w:space="0" w:color="auto"/>
        <w:left w:val="none" w:sz="0" w:space="0" w:color="auto"/>
        <w:bottom w:val="none" w:sz="0" w:space="0" w:color="auto"/>
        <w:right w:val="none" w:sz="0" w:space="0" w:color="auto"/>
      </w:divBdr>
    </w:div>
    <w:div w:id="52389938">
      <w:bodyDiv w:val="1"/>
      <w:marLeft w:val="0"/>
      <w:marRight w:val="0"/>
      <w:marTop w:val="0"/>
      <w:marBottom w:val="0"/>
      <w:divBdr>
        <w:top w:val="none" w:sz="0" w:space="0" w:color="auto"/>
        <w:left w:val="none" w:sz="0" w:space="0" w:color="auto"/>
        <w:bottom w:val="none" w:sz="0" w:space="0" w:color="auto"/>
        <w:right w:val="none" w:sz="0" w:space="0" w:color="auto"/>
      </w:divBdr>
    </w:div>
    <w:div w:id="78210410">
      <w:bodyDiv w:val="1"/>
      <w:marLeft w:val="0"/>
      <w:marRight w:val="0"/>
      <w:marTop w:val="0"/>
      <w:marBottom w:val="0"/>
      <w:divBdr>
        <w:top w:val="none" w:sz="0" w:space="0" w:color="auto"/>
        <w:left w:val="none" w:sz="0" w:space="0" w:color="auto"/>
        <w:bottom w:val="none" w:sz="0" w:space="0" w:color="auto"/>
        <w:right w:val="none" w:sz="0" w:space="0" w:color="auto"/>
      </w:divBdr>
    </w:div>
    <w:div w:id="92362291">
      <w:bodyDiv w:val="1"/>
      <w:marLeft w:val="0"/>
      <w:marRight w:val="0"/>
      <w:marTop w:val="0"/>
      <w:marBottom w:val="0"/>
      <w:divBdr>
        <w:top w:val="none" w:sz="0" w:space="0" w:color="auto"/>
        <w:left w:val="none" w:sz="0" w:space="0" w:color="auto"/>
        <w:bottom w:val="none" w:sz="0" w:space="0" w:color="auto"/>
        <w:right w:val="none" w:sz="0" w:space="0" w:color="auto"/>
      </w:divBdr>
    </w:div>
    <w:div w:id="107049033">
      <w:bodyDiv w:val="1"/>
      <w:marLeft w:val="0"/>
      <w:marRight w:val="0"/>
      <w:marTop w:val="0"/>
      <w:marBottom w:val="0"/>
      <w:divBdr>
        <w:top w:val="none" w:sz="0" w:space="0" w:color="auto"/>
        <w:left w:val="none" w:sz="0" w:space="0" w:color="auto"/>
        <w:bottom w:val="none" w:sz="0" w:space="0" w:color="auto"/>
        <w:right w:val="none" w:sz="0" w:space="0" w:color="auto"/>
      </w:divBdr>
    </w:div>
    <w:div w:id="117378666">
      <w:bodyDiv w:val="1"/>
      <w:marLeft w:val="0"/>
      <w:marRight w:val="0"/>
      <w:marTop w:val="0"/>
      <w:marBottom w:val="0"/>
      <w:divBdr>
        <w:top w:val="none" w:sz="0" w:space="0" w:color="auto"/>
        <w:left w:val="none" w:sz="0" w:space="0" w:color="auto"/>
        <w:bottom w:val="none" w:sz="0" w:space="0" w:color="auto"/>
        <w:right w:val="none" w:sz="0" w:space="0" w:color="auto"/>
      </w:divBdr>
    </w:div>
    <w:div w:id="133106798">
      <w:bodyDiv w:val="1"/>
      <w:marLeft w:val="0"/>
      <w:marRight w:val="0"/>
      <w:marTop w:val="0"/>
      <w:marBottom w:val="0"/>
      <w:divBdr>
        <w:top w:val="none" w:sz="0" w:space="0" w:color="auto"/>
        <w:left w:val="none" w:sz="0" w:space="0" w:color="auto"/>
        <w:bottom w:val="none" w:sz="0" w:space="0" w:color="auto"/>
        <w:right w:val="none" w:sz="0" w:space="0" w:color="auto"/>
      </w:divBdr>
    </w:div>
    <w:div w:id="194927581">
      <w:bodyDiv w:val="1"/>
      <w:marLeft w:val="0"/>
      <w:marRight w:val="0"/>
      <w:marTop w:val="0"/>
      <w:marBottom w:val="0"/>
      <w:divBdr>
        <w:top w:val="none" w:sz="0" w:space="0" w:color="auto"/>
        <w:left w:val="none" w:sz="0" w:space="0" w:color="auto"/>
        <w:bottom w:val="none" w:sz="0" w:space="0" w:color="auto"/>
        <w:right w:val="none" w:sz="0" w:space="0" w:color="auto"/>
      </w:divBdr>
    </w:div>
    <w:div w:id="200484648">
      <w:bodyDiv w:val="1"/>
      <w:marLeft w:val="0"/>
      <w:marRight w:val="0"/>
      <w:marTop w:val="0"/>
      <w:marBottom w:val="0"/>
      <w:divBdr>
        <w:top w:val="none" w:sz="0" w:space="0" w:color="auto"/>
        <w:left w:val="none" w:sz="0" w:space="0" w:color="auto"/>
        <w:bottom w:val="none" w:sz="0" w:space="0" w:color="auto"/>
        <w:right w:val="none" w:sz="0" w:space="0" w:color="auto"/>
      </w:divBdr>
    </w:div>
    <w:div w:id="231702436">
      <w:bodyDiv w:val="1"/>
      <w:marLeft w:val="0"/>
      <w:marRight w:val="0"/>
      <w:marTop w:val="0"/>
      <w:marBottom w:val="0"/>
      <w:divBdr>
        <w:top w:val="none" w:sz="0" w:space="0" w:color="auto"/>
        <w:left w:val="none" w:sz="0" w:space="0" w:color="auto"/>
        <w:bottom w:val="none" w:sz="0" w:space="0" w:color="auto"/>
        <w:right w:val="none" w:sz="0" w:space="0" w:color="auto"/>
      </w:divBdr>
    </w:div>
    <w:div w:id="302582166">
      <w:bodyDiv w:val="1"/>
      <w:marLeft w:val="0"/>
      <w:marRight w:val="0"/>
      <w:marTop w:val="0"/>
      <w:marBottom w:val="0"/>
      <w:divBdr>
        <w:top w:val="none" w:sz="0" w:space="0" w:color="auto"/>
        <w:left w:val="none" w:sz="0" w:space="0" w:color="auto"/>
        <w:bottom w:val="none" w:sz="0" w:space="0" w:color="auto"/>
        <w:right w:val="none" w:sz="0" w:space="0" w:color="auto"/>
      </w:divBdr>
    </w:div>
    <w:div w:id="307631738">
      <w:bodyDiv w:val="1"/>
      <w:marLeft w:val="0"/>
      <w:marRight w:val="0"/>
      <w:marTop w:val="0"/>
      <w:marBottom w:val="0"/>
      <w:divBdr>
        <w:top w:val="none" w:sz="0" w:space="0" w:color="auto"/>
        <w:left w:val="none" w:sz="0" w:space="0" w:color="auto"/>
        <w:bottom w:val="none" w:sz="0" w:space="0" w:color="auto"/>
        <w:right w:val="none" w:sz="0" w:space="0" w:color="auto"/>
      </w:divBdr>
    </w:div>
    <w:div w:id="328993865">
      <w:bodyDiv w:val="1"/>
      <w:marLeft w:val="0"/>
      <w:marRight w:val="0"/>
      <w:marTop w:val="0"/>
      <w:marBottom w:val="0"/>
      <w:divBdr>
        <w:top w:val="none" w:sz="0" w:space="0" w:color="auto"/>
        <w:left w:val="none" w:sz="0" w:space="0" w:color="auto"/>
        <w:bottom w:val="none" w:sz="0" w:space="0" w:color="auto"/>
        <w:right w:val="none" w:sz="0" w:space="0" w:color="auto"/>
      </w:divBdr>
    </w:div>
    <w:div w:id="334067300">
      <w:bodyDiv w:val="1"/>
      <w:marLeft w:val="0"/>
      <w:marRight w:val="0"/>
      <w:marTop w:val="0"/>
      <w:marBottom w:val="0"/>
      <w:divBdr>
        <w:top w:val="none" w:sz="0" w:space="0" w:color="auto"/>
        <w:left w:val="none" w:sz="0" w:space="0" w:color="auto"/>
        <w:bottom w:val="none" w:sz="0" w:space="0" w:color="auto"/>
        <w:right w:val="none" w:sz="0" w:space="0" w:color="auto"/>
      </w:divBdr>
    </w:div>
    <w:div w:id="361133286">
      <w:bodyDiv w:val="1"/>
      <w:marLeft w:val="0"/>
      <w:marRight w:val="0"/>
      <w:marTop w:val="0"/>
      <w:marBottom w:val="0"/>
      <w:divBdr>
        <w:top w:val="none" w:sz="0" w:space="0" w:color="auto"/>
        <w:left w:val="none" w:sz="0" w:space="0" w:color="auto"/>
        <w:bottom w:val="none" w:sz="0" w:space="0" w:color="auto"/>
        <w:right w:val="none" w:sz="0" w:space="0" w:color="auto"/>
      </w:divBdr>
    </w:div>
    <w:div w:id="381443550">
      <w:bodyDiv w:val="1"/>
      <w:marLeft w:val="0"/>
      <w:marRight w:val="0"/>
      <w:marTop w:val="0"/>
      <w:marBottom w:val="0"/>
      <w:divBdr>
        <w:top w:val="none" w:sz="0" w:space="0" w:color="auto"/>
        <w:left w:val="none" w:sz="0" w:space="0" w:color="auto"/>
        <w:bottom w:val="none" w:sz="0" w:space="0" w:color="auto"/>
        <w:right w:val="none" w:sz="0" w:space="0" w:color="auto"/>
      </w:divBdr>
    </w:div>
    <w:div w:id="387068493">
      <w:bodyDiv w:val="1"/>
      <w:marLeft w:val="0"/>
      <w:marRight w:val="0"/>
      <w:marTop w:val="0"/>
      <w:marBottom w:val="0"/>
      <w:divBdr>
        <w:top w:val="none" w:sz="0" w:space="0" w:color="auto"/>
        <w:left w:val="none" w:sz="0" w:space="0" w:color="auto"/>
        <w:bottom w:val="none" w:sz="0" w:space="0" w:color="auto"/>
        <w:right w:val="none" w:sz="0" w:space="0" w:color="auto"/>
      </w:divBdr>
    </w:div>
    <w:div w:id="428282078">
      <w:bodyDiv w:val="1"/>
      <w:marLeft w:val="0"/>
      <w:marRight w:val="0"/>
      <w:marTop w:val="0"/>
      <w:marBottom w:val="0"/>
      <w:divBdr>
        <w:top w:val="none" w:sz="0" w:space="0" w:color="auto"/>
        <w:left w:val="none" w:sz="0" w:space="0" w:color="auto"/>
        <w:bottom w:val="none" w:sz="0" w:space="0" w:color="auto"/>
        <w:right w:val="none" w:sz="0" w:space="0" w:color="auto"/>
      </w:divBdr>
    </w:div>
    <w:div w:id="439422349">
      <w:bodyDiv w:val="1"/>
      <w:marLeft w:val="0"/>
      <w:marRight w:val="0"/>
      <w:marTop w:val="0"/>
      <w:marBottom w:val="0"/>
      <w:divBdr>
        <w:top w:val="none" w:sz="0" w:space="0" w:color="auto"/>
        <w:left w:val="none" w:sz="0" w:space="0" w:color="auto"/>
        <w:bottom w:val="none" w:sz="0" w:space="0" w:color="auto"/>
        <w:right w:val="none" w:sz="0" w:space="0" w:color="auto"/>
      </w:divBdr>
    </w:div>
    <w:div w:id="488905775">
      <w:bodyDiv w:val="1"/>
      <w:marLeft w:val="0"/>
      <w:marRight w:val="0"/>
      <w:marTop w:val="0"/>
      <w:marBottom w:val="0"/>
      <w:divBdr>
        <w:top w:val="none" w:sz="0" w:space="0" w:color="auto"/>
        <w:left w:val="none" w:sz="0" w:space="0" w:color="auto"/>
        <w:bottom w:val="none" w:sz="0" w:space="0" w:color="auto"/>
        <w:right w:val="none" w:sz="0" w:space="0" w:color="auto"/>
      </w:divBdr>
    </w:div>
    <w:div w:id="514854331">
      <w:bodyDiv w:val="1"/>
      <w:marLeft w:val="0"/>
      <w:marRight w:val="0"/>
      <w:marTop w:val="0"/>
      <w:marBottom w:val="0"/>
      <w:divBdr>
        <w:top w:val="none" w:sz="0" w:space="0" w:color="auto"/>
        <w:left w:val="none" w:sz="0" w:space="0" w:color="auto"/>
        <w:bottom w:val="none" w:sz="0" w:space="0" w:color="auto"/>
        <w:right w:val="none" w:sz="0" w:space="0" w:color="auto"/>
      </w:divBdr>
    </w:div>
    <w:div w:id="517423826">
      <w:bodyDiv w:val="1"/>
      <w:marLeft w:val="0"/>
      <w:marRight w:val="0"/>
      <w:marTop w:val="0"/>
      <w:marBottom w:val="0"/>
      <w:divBdr>
        <w:top w:val="none" w:sz="0" w:space="0" w:color="auto"/>
        <w:left w:val="none" w:sz="0" w:space="0" w:color="auto"/>
        <w:bottom w:val="none" w:sz="0" w:space="0" w:color="auto"/>
        <w:right w:val="none" w:sz="0" w:space="0" w:color="auto"/>
      </w:divBdr>
    </w:div>
    <w:div w:id="522982387">
      <w:bodyDiv w:val="1"/>
      <w:marLeft w:val="0"/>
      <w:marRight w:val="0"/>
      <w:marTop w:val="0"/>
      <w:marBottom w:val="0"/>
      <w:divBdr>
        <w:top w:val="none" w:sz="0" w:space="0" w:color="auto"/>
        <w:left w:val="none" w:sz="0" w:space="0" w:color="auto"/>
        <w:bottom w:val="none" w:sz="0" w:space="0" w:color="auto"/>
        <w:right w:val="none" w:sz="0" w:space="0" w:color="auto"/>
      </w:divBdr>
    </w:div>
    <w:div w:id="531958617">
      <w:bodyDiv w:val="1"/>
      <w:marLeft w:val="0"/>
      <w:marRight w:val="0"/>
      <w:marTop w:val="0"/>
      <w:marBottom w:val="0"/>
      <w:divBdr>
        <w:top w:val="none" w:sz="0" w:space="0" w:color="auto"/>
        <w:left w:val="none" w:sz="0" w:space="0" w:color="auto"/>
        <w:bottom w:val="none" w:sz="0" w:space="0" w:color="auto"/>
        <w:right w:val="none" w:sz="0" w:space="0" w:color="auto"/>
      </w:divBdr>
    </w:div>
    <w:div w:id="558785685">
      <w:bodyDiv w:val="1"/>
      <w:marLeft w:val="0"/>
      <w:marRight w:val="0"/>
      <w:marTop w:val="0"/>
      <w:marBottom w:val="0"/>
      <w:divBdr>
        <w:top w:val="none" w:sz="0" w:space="0" w:color="auto"/>
        <w:left w:val="none" w:sz="0" w:space="0" w:color="auto"/>
        <w:bottom w:val="none" w:sz="0" w:space="0" w:color="auto"/>
        <w:right w:val="none" w:sz="0" w:space="0" w:color="auto"/>
      </w:divBdr>
    </w:div>
    <w:div w:id="576522347">
      <w:bodyDiv w:val="1"/>
      <w:marLeft w:val="0"/>
      <w:marRight w:val="0"/>
      <w:marTop w:val="0"/>
      <w:marBottom w:val="0"/>
      <w:divBdr>
        <w:top w:val="none" w:sz="0" w:space="0" w:color="auto"/>
        <w:left w:val="none" w:sz="0" w:space="0" w:color="auto"/>
        <w:bottom w:val="none" w:sz="0" w:space="0" w:color="auto"/>
        <w:right w:val="none" w:sz="0" w:space="0" w:color="auto"/>
      </w:divBdr>
    </w:div>
    <w:div w:id="585725146">
      <w:bodyDiv w:val="1"/>
      <w:marLeft w:val="0"/>
      <w:marRight w:val="0"/>
      <w:marTop w:val="0"/>
      <w:marBottom w:val="0"/>
      <w:divBdr>
        <w:top w:val="none" w:sz="0" w:space="0" w:color="auto"/>
        <w:left w:val="none" w:sz="0" w:space="0" w:color="auto"/>
        <w:bottom w:val="none" w:sz="0" w:space="0" w:color="auto"/>
        <w:right w:val="none" w:sz="0" w:space="0" w:color="auto"/>
      </w:divBdr>
    </w:div>
    <w:div w:id="595404660">
      <w:bodyDiv w:val="1"/>
      <w:marLeft w:val="0"/>
      <w:marRight w:val="0"/>
      <w:marTop w:val="0"/>
      <w:marBottom w:val="0"/>
      <w:divBdr>
        <w:top w:val="none" w:sz="0" w:space="0" w:color="auto"/>
        <w:left w:val="none" w:sz="0" w:space="0" w:color="auto"/>
        <w:bottom w:val="none" w:sz="0" w:space="0" w:color="auto"/>
        <w:right w:val="none" w:sz="0" w:space="0" w:color="auto"/>
      </w:divBdr>
    </w:div>
    <w:div w:id="599871168">
      <w:bodyDiv w:val="1"/>
      <w:marLeft w:val="0"/>
      <w:marRight w:val="0"/>
      <w:marTop w:val="0"/>
      <w:marBottom w:val="0"/>
      <w:divBdr>
        <w:top w:val="none" w:sz="0" w:space="0" w:color="auto"/>
        <w:left w:val="none" w:sz="0" w:space="0" w:color="auto"/>
        <w:bottom w:val="none" w:sz="0" w:space="0" w:color="auto"/>
        <w:right w:val="none" w:sz="0" w:space="0" w:color="auto"/>
      </w:divBdr>
    </w:div>
    <w:div w:id="622003602">
      <w:bodyDiv w:val="1"/>
      <w:marLeft w:val="0"/>
      <w:marRight w:val="0"/>
      <w:marTop w:val="0"/>
      <w:marBottom w:val="0"/>
      <w:divBdr>
        <w:top w:val="none" w:sz="0" w:space="0" w:color="auto"/>
        <w:left w:val="none" w:sz="0" w:space="0" w:color="auto"/>
        <w:bottom w:val="none" w:sz="0" w:space="0" w:color="auto"/>
        <w:right w:val="none" w:sz="0" w:space="0" w:color="auto"/>
      </w:divBdr>
    </w:div>
    <w:div w:id="625818848">
      <w:bodyDiv w:val="1"/>
      <w:marLeft w:val="0"/>
      <w:marRight w:val="0"/>
      <w:marTop w:val="0"/>
      <w:marBottom w:val="0"/>
      <w:divBdr>
        <w:top w:val="none" w:sz="0" w:space="0" w:color="auto"/>
        <w:left w:val="none" w:sz="0" w:space="0" w:color="auto"/>
        <w:bottom w:val="none" w:sz="0" w:space="0" w:color="auto"/>
        <w:right w:val="none" w:sz="0" w:space="0" w:color="auto"/>
      </w:divBdr>
    </w:div>
    <w:div w:id="643900094">
      <w:bodyDiv w:val="1"/>
      <w:marLeft w:val="0"/>
      <w:marRight w:val="0"/>
      <w:marTop w:val="0"/>
      <w:marBottom w:val="0"/>
      <w:divBdr>
        <w:top w:val="none" w:sz="0" w:space="0" w:color="auto"/>
        <w:left w:val="none" w:sz="0" w:space="0" w:color="auto"/>
        <w:bottom w:val="none" w:sz="0" w:space="0" w:color="auto"/>
        <w:right w:val="none" w:sz="0" w:space="0" w:color="auto"/>
      </w:divBdr>
    </w:div>
    <w:div w:id="650015930">
      <w:bodyDiv w:val="1"/>
      <w:marLeft w:val="0"/>
      <w:marRight w:val="0"/>
      <w:marTop w:val="0"/>
      <w:marBottom w:val="0"/>
      <w:divBdr>
        <w:top w:val="none" w:sz="0" w:space="0" w:color="auto"/>
        <w:left w:val="none" w:sz="0" w:space="0" w:color="auto"/>
        <w:bottom w:val="none" w:sz="0" w:space="0" w:color="auto"/>
        <w:right w:val="none" w:sz="0" w:space="0" w:color="auto"/>
      </w:divBdr>
    </w:div>
    <w:div w:id="681971686">
      <w:bodyDiv w:val="1"/>
      <w:marLeft w:val="0"/>
      <w:marRight w:val="0"/>
      <w:marTop w:val="0"/>
      <w:marBottom w:val="0"/>
      <w:divBdr>
        <w:top w:val="none" w:sz="0" w:space="0" w:color="auto"/>
        <w:left w:val="none" w:sz="0" w:space="0" w:color="auto"/>
        <w:bottom w:val="none" w:sz="0" w:space="0" w:color="auto"/>
        <w:right w:val="none" w:sz="0" w:space="0" w:color="auto"/>
      </w:divBdr>
    </w:div>
    <w:div w:id="705176114">
      <w:bodyDiv w:val="1"/>
      <w:marLeft w:val="0"/>
      <w:marRight w:val="0"/>
      <w:marTop w:val="0"/>
      <w:marBottom w:val="0"/>
      <w:divBdr>
        <w:top w:val="none" w:sz="0" w:space="0" w:color="auto"/>
        <w:left w:val="none" w:sz="0" w:space="0" w:color="auto"/>
        <w:bottom w:val="none" w:sz="0" w:space="0" w:color="auto"/>
        <w:right w:val="none" w:sz="0" w:space="0" w:color="auto"/>
      </w:divBdr>
    </w:div>
    <w:div w:id="72714816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8701017">
      <w:bodyDiv w:val="1"/>
      <w:marLeft w:val="0"/>
      <w:marRight w:val="0"/>
      <w:marTop w:val="0"/>
      <w:marBottom w:val="0"/>
      <w:divBdr>
        <w:top w:val="none" w:sz="0" w:space="0" w:color="auto"/>
        <w:left w:val="none" w:sz="0" w:space="0" w:color="auto"/>
        <w:bottom w:val="none" w:sz="0" w:space="0" w:color="auto"/>
        <w:right w:val="none" w:sz="0" w:space="0" w:color="auto"/>
      </w:divBdr>
    </w:div>
    <w:div w:id="784078437">
      <w:bodyDiv w:val="1"/>
      <w:marLeft w:val="0"/>
      <w:marRight w:val="0"/>
      <w:marTop w:val="0"/>
      <w:marBottom w:val="0"/>
      <w:divBdr>
        <w:top w:val="none" w:sz="0" w:space="0" w:color="auto"/>
        <w:left w:val="none" w:sz="0" w:space="0" w:color="auto"/>
        <w:bottom w:val="none" w:sz="0" w:space="0" w:color="auto"/>
        <w:right w:val="none" w:sz="0" w:space="0" w:color="auto"/>
      </w:divBdr>
    </w:div>
    <w:div w:id="794366769">
      <w:bodyDiv w:val="1"/>
      <w:marLeft w:val="0"/>
      <w:marRight w:val="0"/>
      <w:marTop w:val="0"/>
      <w:marBottom w:val="0"/>
      <w:divBdr>
        <w:top w:val="none" w:sz="0" w:space="0" w:color="auto"/>
        <w:left w:val="none" w:sz="0" w:space="0" w:color="auto"/>
        <w:bottom w:val="none" w:sz="0" w:space="0" w:color="auto"/>
        <w:right w:val="none" w:sz="0" w:space="0" w:color="auto"/>
      </w:divBdr>
    </w:div>
    <w:div w:id="799609494">
      <w:bodyDiv w:val="1"/>
      <w:marLeft w:val="0"/>
      <w:marRight w:val="0"/>
      <w:marTop w:val="0"/>
      <w:marBottom w:val="0"/>
      <w:divBdr>
        <w:top w:val="none" w:sz="0" w:space="0" w:color="auto"/>
        <w:left w:val="none" w:sz="0" w:space="0" w:color="auto"/>
        <w:bottom w:val="none" w:sz="0" w:space="0" w:color="auto"/>
        <w:right w:val="none" w:sz="0" w:space="0" w:color="auto"/>
      </w:divBdr>
    </w:div>
    <w:div w:id="800927637">
      <w:bodyDiv w:val="1"/>
      <w:marLeft w:val="0"/>
      <w:marRight w:val="0"/>
      <w:marTop w:val="0"/>
      <w:marBottom w:val="0"/>
      <w:divBdr>
        <w:top w:val="none" w:sz="0" w:space="0" w:color="auto"/>
        <w:left w:val="none" w:sz="0" w:space="0" w:color="auto"/>
        <w:bottom w:val="none" w:sz="0" w:space="0" w:color="auto"/>
        <w:right w:val="none" w:sz="0" w:space="0" w:color="auto"/>
      </w:divBdr>
    </w:div>
    <w:div w:id="801769158">
      <w:bodyDiv w:val="1"/>
      <w:marLeft w:val="0"/>
      <w:marRight w:val="0"/>
      <w:marTop w:val="0"/>
      <w:marBottom w:val="0"/>
      <w:divBdr>
        <w:top w:val="none" w:sz="0" w:space="0" w:color="auto"/>
        <w:left w:val="none" w:sz="0" w:space="0" w:color="auto"/>
        <w:bottom w:val="none" w:sz="0" w:space="0" w:color="auto"/>
        <w:right w:val="none" w:sz="0" w:space="0" w:color="auto"/>
      </w:divBdr>
    </w:div>
    <w:div w:id="817263394">
      <w:bodyDiv w:val="1"/>
      <w:marLeft w:val="0"/>
      <w:marRight w:val="0"/>
      <w:marTop w:val="0"/>
      <w:marBottom w:val="0"/>
      <w:divBdr>
        <w:top w:val="none" w:sz="0" w:space="0" w:color="auto"/>
        <w:left w:val="none" w:sz="0" w:space="0" w:color="auto"/>
        <w:bottom w:val="none" w:sz="0" w:space="0" w:color="auto"/>
        <w:right w:val="none" w:sz="0" w:space="0" w:color="auto"/>
      </w:divBdr>
    </w:div>
    <w:div w:id="828406580">
      <w:bodyDiv w:val="1"/>
      <w:marLeft w:val="0"/>
      <w:marRight w:val="0"/>
      <w:marTop w:val="0"/>
      <w:marBottom w:val="0"/>
      <w:divBdr>
        <w:top w:val="none" w:sz="0" w:space="0" w:color="auto"/>
        <w:left w:val="none" w:sz="0" w:space="0" w:color="auto"/>
        <w:bottom w:val="none" w:sz="0" w:space="0" w:color="auto"/>
        <w:right w:val="none" w:sz="0" w:space="0" w:color="auto"/>
      </w:divBdr>
    </w:div>
    <w:div w:id="831868340">
      <w:bodyDiv w:val="1"/>
      <w:marLeft w:val="0"/>
      <w:marRight w:val="0"/>
      <w:marTop w:val="0"/>
      <w:marBottom w:val="0"/>
      <w:divBdr>
        <w:top w:val="none" w:sz="0" w:space="0" w:color="auto"/>
        <w:left w:val="none" w:sz="0" w:space="0" w:color="auto"/>
        <w:bottom w:val="none" w:sz="0" w:space="0" w:color="auto"/>
        <w:right w:val="none" w:sz="0" w:space="0" w:color="auto"/>
      </w:divBdr>
    </w:div>
    <w:div w:id="870073555">
      <w:bodyDiv w:val="1"/>
      <w:marLeft w:val="0"/>
      <w:marRight w:val="0"/>
      <w:marTop w:val="0"/>
      <w:marBottom w:val="0"/>
      <w:divBdr>
        <w:top w:val="none" w:sz="0" w:space="0" w:color="auto"/>
        <w:left w:val="none" w:sz="0" w:space="0" w:color="auto"/>
        <w:bottom w:val="none" w:sz="0" w:space="0" w:color="auto"/>
        <w:right w:val="none" w:sz="0" w:space="0" w:color="auto"/>
      </w:divBdr>
    </w:div>
    <w:div w:id="892154293">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07420434">
      <w:bodyDiv w:val="1"/>
      <w:marLeft w:val="0"/>
      <w:marRight w:val="0"/>
      <w:marTop w:val="0"/>
      <w:marBottom w:val="0"/>
      <w:divBdr>
        <w:top w:val="none" w:sz="0" w:space="0" w:color="auto"/>
        <w:left w:val="none" w:sz="0" w:space="0" w:color="auto"/>
        <w:bottom w:val="none" w:sz="0" w:space="0" w:color="auto"/>
        <w:right w:val="none" w:sz="0" w:space="0" w:color="auto"/>
      </w:divBdr>
    </w:div>
    <w:div w:id="910583300">
      <w:bodyDiv w:val="1"/>
      <w:marLeft w:val="0"/>
      <w:marRight w:val="0"/>
      <w:marTop w:val="0"/>
      <w:marBottom w:val="0"/>
      <w:divBdr>
        <w:top w:val="none" w:sz="0" w:space="0" w:color="auto"/>
        <w:left w:val="none" w:sz="0" w:space="0" w:color="auto"/>
        <w:bottom w:val="none" w:sz="0" w:space="0" w:color="auto"/>
        <w:right w:val="none" w:sz="0" w:space="0" w:color="auto"/>
      </w:divBdr>
    </w:div>
    <w:div w:id="937564921">
      <w:bodyDiv w:val="1"/>
      <w:marLeft w:val="0"/>
      <w:marRight w:val="0"/>
      <w:marTop w:val="0"/>
      <w:marBottom w:val="0"/>
      <w:divBdr>
        <w:top w:val="none" w:sz="0" w:space="0" w:color="auto"/>
        <w:left w:val="none" w:sz="0" w:space="0" w:color="auto"/>
        <w:bottom w:val="none" w:sz="0" w:space="0" w:color="auto"/>
        <w:right w:val="none" w:sz="0" w:space="0" w:color="auto"/>
      </w:divBdr>
    </w:div>
    <w:div w:id="944456009">
      <w:bodyDiv w:val="1"/>
      <w:marLeft w:val="0"/>
      <w:marRight w:val="0"/>
      <w:marTop w:val="0"/>
      <w:marBottom w:val="0"/>
      <w:divBdr>
        <w:top w:val="none" w:sz="0" w:space="0" w:color="auto"/>
        <w:left w:val="none" w:sz="0" w:space="0" w:color="auto"/>
        <w:bottom w:val="none" w:sz="0" w:space="0" w:color="auto"/>
        <w:right w:val="none" w:sz="0" w:space="0" w:color="auto"/>
      </w:divBdr>
    </w:div>
    <w:div w:id="961233044">
      <w:bodyDiv w:val="1"/>
      <w:marLeft w:val="0"/>
      <w:marRight w:val="0"/>
      <w:marTop w:val="0"/>
      <w:marBottom w:val="0"/>
      <w:divBdr>
        <w:top w:val="none" w:sz="0" w:space="0" w:color="auto"/>
        <w:left w:val="none" w:sz="0" w:space="0" w:color="auto"/>
        <w:bottom w:val="none" w:sz="0" w:space="0" w:color="auto"/>
        <w:right w:val="none" w:sz="0" w:space="0" w:color="auto"/>
      </w:divBdr>
    </w:div>
    <w:div w:id="975918538">
      <w:bodyDiv w:val="1"/>
      <w:marLeft w:val="0"/>
      <w:marRight w:val="0"/>
      <w:marTop w:val="0"/>
      <w:marBottom w:val="0"/>
      <w:divBdr>
        <w:top w:val="none" w:sz="0" w:space="0" w:color="auto"/>
        <w:left w:val="none" w:sz="0" w:space="0" w:color="auto"/>
        <w:bottom w:val="none" w:sz="0" w:space="0" w:color="auto"/>
        <w:right w:val="none" w:sz="0" w:space="0" w:color="auto"/>
      </w:divBdr>
    </w:div>
    <w:div w:id="1001084558">
      <w:bodyDiv w:val="1"/>
      <w:marLeft w:val="0"/>
      <w:marRight w:val="0"/>
      <w:marTop w:val="0"/>
      <w:marBottom w:val="0"/>
      <w:divBdr>
        <w:top w:val="none" w:sz="0" w:space="0" w:color="auto"/>
        <w:left w:val="none" w:sz="0" w:space="0" w:color="auto"/>
        <w:bottom w:val="none" w:sz="0" w:space="0" w:color="auto"/>
        <w:right w:val="none" w:sz="0" w:space="0" w:color="auto"/>
      </w:divBdr>
    </w:div>
    <w:div w:id="1006320112">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88581141">
      <w:bodyDiv w:val="1"/>
      <w:marLeft w:val="0"/>
      <w:marRight w:val="0"/>
      <w:marTop w:val="0"/>
      <w:marBottom w:val="0"/>
      <w:divBdr>
        <w:top w:val="none" w:sz="0" w:space="0" w:color="auto"/>
        <w:left w:val="none" w:sz="0" w:space="0" w:color="auto"/>
        <w:bottom w:val="none" w:sz="0" w:space="0" w:color="auto"/>
        <w:right w:val="none" w:sz="0" w:space="0" w:color="auto"/>
      </w:divBdr>
    </w:div>
    <w:div w:id="1108235562">
      <w:bodyDiv w:val="1"/>
      <w:marLeft w:val="0"/>
      <w:marRight w:val="0"/>
      <w:marTop w:val="0"/>
      <w:marBottom w:val="0"/>
      <w:divBdr>
        <w:top w:val="none" w:sz="0" w:space="0" w:color="auto"/>
        <w:left w:val="none" w:sz="0" w:space="0" w:color="auto"/>
        <w:bottom w:val="none" w:sz="0" w:space="0" w:color="auto"/>
        <w:right w:val="none" w:sz="0" w:space="0" w:color="auto"/>
      </w:divBdr>
    </w:div>
    <w:div w:id="1152872379">
      <w:bodyDiv w:val="1"/>
      <w:marLeft w:val="0"/>
      <w:marRight w:val="0"/>
      <w:marTop w:val="0"/>
      <w:marBottom w:val="0"/>
      <w:divBdr>
        <w:top w:val="none" w:sz="0" w:space="0" w:color="auto"/>
        <w:left w:val="none" w:sz="0" w:space="0" w:color="auto"/>
        <w:bottom w:val="none" w:sz="0" w:space="0" w:color="auto"/>
        <w:right w:val="none" w:sz="0" w:space="0" w:color="auto"/>
      </w:divBdr>
    </w:div>
    <w:div w:id="1154562323">
      <w:bodyDiv w:val="1"/>
      <w:marLeft w:val="0"/>
      <w:marRight w:val="0"/>
      <w:marTop w:val="0"/>
      <w:marBottom w:val="0"/>
      <w:divBdr>
        <w:top w:val="none" w:sz="0" w:space="0" w:color="auto"/>
        <w:left w:val="none" w:sz="0" w:space="0" w:color="auto"/>
        <w:bottom w:val="none" w:sz="0" w:space="0" w:color="auto"/>
        <w:right w:val="none" w:sz="0" w:space="0" w:color="auto"/>
      </w:divBdr>
    </w:div>
    <w:div w:id="1163011930">
      <w:bodyDiv w:val="1"/>
      <w:marLeft w:val="0"/>
      <w:marRight w:val="0"/>
      <w:marTop w:val="0"/>
      <w:marBottom w:val="0"/>
      <w:divBdr>
        <w:top w:val="none" w:sz="0" w:space="0" w:color="auto"/>
        <w:left w:val="none" w:sz="0" w:space="0" w:color="auto"/>
        <w:bottom w:val="none" w:sz="0" w:space="0" w:color="auto"/>
        <w:right w:val="none" w:sz="0" w:space="0" w:color="auto"/>
      </w:divBdr>
    </w:div>
    <w:div w:id="1188563571">
      <w:bodyDiv w:val="1"/>
      <w:marLeft w:val="0"/>
      <w:marRight w:val="0"/>
      <w:marTop w:val="0"/>
      <w:marBottom w:val="0"/>
      <w:divBdr>
        <w:top w:val="none" w:sz="0" w:space="0" w:color="auto"/>
        <w:left w:val="none" w:sz="0" w:space="0" w:color="auto"/>
        <w:bottom w:val="none" w:sz="0" w:space="0" w:color="auto"/>
        <w:right w:val="none" w:sz="0" w:space="0" w:color="auto"/>
      </w:divBdr>
    </w:div>
    <w:div w:id="1189417999">
      <w:bodyDiv w:val="1"/>
      <w:marLeft w:val="0"/>
      <w:marRight w:val="0"/>
      <w:marTop w:val="0"/>
      <w:marBottom w:val="0"/>
      <w:divBdr>
        <w:top w:val="none" w:sz="0" w:space="0" w:color="auto"/>
        <w:left w:val="none" w:sz="0" w:space="0" w:color="auto"/>
        <w:bottom w:val="none" w:sz="0" w:space="0" w:color="auto"/>
        <w:right w:val="none" w:sz="0" w:space="0" w:color="auto"/>
      </w:divBdr>
    </w:div>
    <w:div w:id="1240021279">
      <w:bodyDiv w:val="1"/>
      <w:marLeft w:val="0"/>
      <w:marRight w:val="0"/>
      <w:marTop w:val="0"/>
      <w:marBottom w:val="0"/>
      <w:divBdr>
        <w:top w:val="none" w:sz="0" w:space="0" w:color="auto"/>
        <w:left w:val="none" w:sz="0" w:space="0" w:color="auto"/>
        <w:bottom w:val="none" w:sz="0" w:space="0" w:color="auto"/>
        <w:right w:val="none" w:sz="0" w:space="0" w:color="auto"/>
      </w:divBdr>
    </w:div>
    <w:div w:id="1256015590">
      <w:bodyDiv w:val="1"/>
      <w:marLeft w:val="0"/>
      <w:marRight w:val="0"/>
      <w:marTop w:val="0"/>
      <w:marBottom w:val="0"/>
      <w:divBdr>
        <w:top w:val="none" w:sz="0" w:space="0" w:color="auto"/>
        <w:left w:val="none" w:sz="0" w:space="0" w:color="auto"/>
        <w:bottom w:val="none" w:sz="0" w:space="0" w:color="auto"/>
        <w:right w:val="none" w:sz="0" w:space="0" w:color="auto"/>
      </w:divBdr>
    </w:div>
    <w:div w:id="1273442074">
      <w:bodyDiv w:val="1"/>
      <w:marLeft w:val="0"/>
      <w:marRight w:val="0"/>
      <w:marTop w:val="0"/>
      <w:marBottom w:val="0"/>
      <w:divBdr>
        <w:top w:val="none" w:sz="0" w:space="0" w:color="auto"/>
        <w:left w:val="none" w:sz="0" w:space="0" w:color="auto"/>
        <w:bottom w:val="none" w:sz="0" w:space="0" w:color="auto"/>
        <w:right w:val="none" w:sz="0" w:space="0" w:color="auto"/>
      </w:divBdr>
    </w:div>
    <w:div w:id="1281884716">
      <w:bodyDiv w:val="1"/>
      <w:marLeft w:val="0"/>
      <w:marRight w:val="0"/>
      <w:marTop w:val="0"/>
      <w:marBottom w:val="0"/>
      <w:divBdr>
        <w:top w:val="none" w:sz="0" w:space="0" w:color="auto"/>
        <w:left w:val="none" w:sz="0" w:space="0" w:color="auto"/>
        <w:bottom w:val="none" w:sz="0" w:space="0" w:color="auto"/>
        <w:right w:val="none" w:sz="0" w:space="0" w:color="auto"/>
      </w:divBdr>
    </w:div>
    <w:div w:id="1282810118">
      <w:bodyDiv w:val="1"/>
      <w:marLeft w:val="0"/>
      <w:marRight w:val="0"/>
      <w:marTop w:val="0"/>
      <w:marBottom w:val="0"/>
      <w:divBdr>
        <w:top w:val="none" w:sz="0" w:space="0" w:color="auto"/>
        <w:left w:val="none" w:sz="0" w:space="0" w:color="auto"/>
        <w:bottom w:val="none" w:sz="0" w:space="0" w:color="auto"/>
        <w:right w:val="none" w:sz="0" w:space="0" w:color="auto"/>
      </w:divBdr>
    </w:div>
    <w:div w:id="1283919981">
      <w:bodyDiv w:val="1"/>
      <w:marLeft w:val="0"/>
      <w:marRight w:val="0"/>
      <w:marTop w:val="0"/>
      <w:marBottom w:val="0"/>
      <w:divBdr>
        <w:top w:val="none" w:sz="0" w:space="0" w:color="auto"/>
        <w:left w:val="none" w:sz="0" w:space="0" w:color="auto"/>
        <w:bottom w:val="none" w:sz="0" w:space="0" w:color="auto"/>
        <w:right w:val="none" w:sz="0" w:space="0" w:color="auto"/>
      </w:divBdr>
    </w:div>
    <w:div w:id="1306661539">
      <w:bodyDiv w:val="1"/>
      <w:marLeft w:val="0"/>
      <w:marRight w:val="0"/>
      <w:marTop w:val="0"/>
      <w:marBottom w:val="0"/>
      <w:divBdr>
        <w:top w:val="none" w:sz="0" w:space="0" w:color="auto"/>
        <w:left w:val="none" w:sz="0" w:space="0" w:color="auto"/>
        <w:bottom w:val="none" w:sz="0" w:space="0" w:color="auto"/>
        <w:right w:val="none" w:sz="0" w:space="0" w:color="auto"/>
      </w:divBdr>
    </w:div>
    <w:div w:id="1332222608">
      <w:bodyDiv w:val="1"/>
      <w:marLeft w:val="0"/>
      <w:marRight w:val="0"/>
      <w:marTop w:val="0"/>
      <w:marBottom w:val="0"/>
      <w:divBdr>
        <w:top w:val="none" w:sz="0" w:space="0" w:color="auto"/>
        <w:left w:val="none" w:sz="0" w:space="0" w:color="auto"/>
        <w:bottom w:val="none" w:sz="0" w:space="0" w:color="auto"/>
        <w:right w:val="none" w:sz="0" w:space="0" w:color="auto"/>
      </w:divBdr>
    </w:div>
    <w:div w:id="1352294673">
      <w:bodyDiv w:val="1"/>
      <w:marLeft w:val="0"/>
      <w:marRight w:val="0"/>
      <w:marTop w:val="0"/>
      <w:marBottom w:val="0"/>
      <w:divBdr>
        <w:top w:val="none" w:sz="0" w:space="0" w:color="auto"/>
        <w:left w:val="none" w:sz="0" w:space="0" w:color="auto"/>
        <w:bottom w:val="none" w:sz="0" w:space="0" w:color="auto"/>
        <w:right w:val="none" w:sz="0" w:space="0" w:color="auto"/>
      </w:divBdr>
    </w:div>
    <w:div w:id="1352537325">
      <w:bodyDiv w:val="1"/>
      <w:marLeft w:val="0"/>
      <w:marRight w:val="0"/>
      <w:marTop w:val="0"/>
      <w:marBottom w:val="0"/>
      <w:divBdr>
        <w:top w:val="none" w:sz="0" w:space="0" w:color="auto"/>
        <w:left w:val="none" w:sz="0" w:space="0" w:color="auto"/>
        <w:bottom w:val="none" w:sz="0" w:space="0" w:color="auto"/>
        <w:right w:val="none" w:sz="0" w:space="0" w:color="auto"/>
      </w:divBdr>
    </w:div>
    <w:div w:id="1362394914">
      <w:bodyDiv w:val="1"/>
      <w:marLeft w:val="0"/>
      <w:marRight w:val="0"/>
      <w:marTop w:val="0"/>
      <w:marBottom w:val="0"/>
      <w:divBdr>
        <w:top w:val="none" w:sz="0" w:space="0" w:color="auto"/>
        <w:left w:val="none" w:sz="0" w:space="0" w:color="auto"/>
        <w:bottom w:val="none" w:sz="0" w:space="0" w:color="auto"/>
        <w:right w:val="none" w:sz="0" w:space="0" w:color="auto"/>
      </w:divBdr>
    </w:div>
    <w:div w:id="1383217168">
      <w:bodyDiv w:val="1"/>
      <w:marLeft w:val="0"/>
      <w:marRight w:val="0"/>
      <w:marTop w:val="0"/>
      <w:marBottom w:val="0"/>
      <w:divBdr>
        <w:top w:val="none" w:sz="0" w:space="0" w:color="auto"/>
        <w:left w:val="none" w:sz="0" w:space="0" w:color="auto"/>
        <w:bottom w:val="none" w:sz="0" w:space="0" w:color="auto"/>
        <w:right w:val="none" w:sz="0" w:space="0" w:color="auto"/>
      </w:divBdr>
    </w:div>
    <w:div w:id="1419332322">
      <w:bodyDiv w:val="1"/>
      <w:marLeft w:val="0"/>
      <w:marRight w:val="0"/>
      <w:marTop w:val="0"/>
      <w:marBottom w:val="0"/>
      <w:divBdr>
        <w:top w:val="none" w:sz="0" w:space="0" w:color="auto"/>
        <w:left w:val="none" w:sz="0" w:space="0" w:color="auto"/>
        <w:bottom w:val="none" w:sz="0" w:space="0" w:color="auto"/>
        <w:right w:val="none" w:sz="0" w:space="0" w:color="auto"/>
      </w:divBdr>
    </w:div>
    <w:div w:id="1432358044">
      <w:bodyDiv w:val="1"/>
      <w:marLeft w:val="0"/>
      <w:marRight w:val="0"/>
      <w:marTop w:val="0"/>
      <w:marBottom w:val="0"/>
      <w:divBdr>
        <w:top w:val="none" w:sz="0" w:space="0" w:color="auto"/>
        <w:left w:val="none" w:sz="0" w:space="0" w:color="auto"/>
        <w:bottom w:val="none" w:sz="0" w:space="0" w:color="auto"/>
        <w:right w:val="none" w:sz="0" w:space="0" w:color="auto"/>
      </w:divBdr>
    </w:div>
    <w:div w:id="1435125131">
      <w:bodyDiv w:val="1"/>
      <w:marLeft w:val="0"/>
      <w:marRight w:val="0"/>
      <w:marTop w:val="0"/>
      <w:marBottom w:val="0"/>
      <w:divBdr>
        <w:top w:val="none" w:sz="0" w:space="0" w:color="auto"/>
        <w:left w:val="none" w:sz="0" w:space="0" w:color="auto"/>
        <w:bottom w:val="none" w:sz="0" w:space="0" w:color="auto"/>
        <w:right w:val="none" w:sz="0" w:space="0" w:color="auto"/>
      </w:divBdr>
    </w:div>
    <w:div w:id="1460682138">
      <w:bodyDiv w:val="1"/>
      <w:marLeft w:val="0"/>
      <w:marRight w:val="0"/>
      <w:marTop w:val="0"/>
      <w:marBottom w:val="0"/>
      <w:divBdr>
        <w:top w:val="none" w:sz="0" w:space="0" w:color="auto"/>
        <w:left w:val="none" w:sz="0" w:space="0" w:color="auto"/>
        <w:bottom w:val="none" w:sz="0" w:space="0" w:color="auto"/>
        <w:right w:val="none" w:sz="0" w:space="0" w:color="auto"/>
      </w:divBdr>
    </w:div>
    <w:div w:id="1492212950">
      <w:bodyDiv w:val="1"/>
      <w:marLeft w:val="0"/>
      <w:marRight w:val="0"/>
      <w:marTop w:val="0"/>
      <w:marBottom w:val="0"/>
      <w:divBdr>
        <w:top w:val="none" w:sz="0" w:space="0" w:color="auto"/>
        <w:left w:val="none" w:sz="0" w:space="0" w:color="auto"/>
        <w:bottom w:val="none" w:sz="0" w:space="0" w:color="auto"/>
        <w:right w:val="none" w:sz="0" w:space="0" w:color="auto"/>
      </w:divBdr>
    </w:div>
    <w:div w:id="1540436434">
      <w:bodyDiv w:val="1"/>
      <w:marLeft w:val="0"/>
      <w:marRight w:val="0"/>
      <w:marTop w:val="0"/>
      <w:marBottom w:val="0"/>
      <w:divBdr>
        <w:top w:val="none" w:sz="0" w:space="0" w:color="auto"/>
        <w:left w:val="none" w:sz="0" w:space="0" w:color="auto"/>
        <w:bottom w:val="none" w:sz="0" w:space="0" w:color="auto"/>
        <w:right w:val="none" w:sz="0" w:space="0" w:color="auto"/>
      </w:divBdr>
    </w:div>
    <w:div w:id="1558854699">
      <w:bodyDiv w:val="1"/>
      <w:marLeft w:val="0"/>
      <w:marRight w:val="0"/>
      <w:marTop w:val="0"/>
      <w:marBottom w:val="0"/>
      <w:divBdr>
        <w:top w:val="none" w:sz="0" w:space="0" w:color="auto"/>
        <w:left w:val="none" w:sz="0" w:space="0" w:color="auto"/>
        <w:bottom w:val="none" w:sz="0" w:space="0" w:color="auto"/>
        <w:right w:val="none" w:sz="0" w:space="0" w:color="auto"/>
      </w:divBdr>
    </w:div>
    <w:div w:id="1579946054">
      <w:bodyDiv w:val="1"/>
      <w:marLeft w:val="0"/>
      <w:marRight w:val="0"/>
      <w:marTop w:val="0"/>
      <w:marBottom w:val="0"/>
      <w:divBdr>
        <w:top w:val="none" w:sz="0" w:space="0" w:color="auto"/>
        <w:left w:val="none" w:sz="0" w:space="0" w:color="auto"/>
        <w:bottom w:val="none" w:sz="0" w:space="0" w:color="auto"/>
        <w:right w:val="none" w:sz="0" w:space="0" w:color="auto"/>
      </w:divBdr>
    </w:div>
    <w:div w:id="1591887153">
      <w:bodyDiv w:val="1"/>
      <w:marLeft w:val="0"/>
      <w:marRight w:val="0"/>
      <w:marTop w:val="0"/>
      <w:marBottom w:val="0"/>
      <w:divBdr>
        <w:top w:val="none" w:sz="0" w:space="0" w:color="auto"/>
        <w:left w:val="none" w:sz="0" w:space="0" w:color="auto"/>
        <w:bottom w:val="none" w:sz="0" w:space="0" w:color="auto"/>
        <w:right w:val="none" w:sz="0" w:space="0" w:color="auto"/>
      </w:divBdr>
    </w:div>
    <w:div w:id="1626503324">
      <w:bodyDiv w:val="1"/>
      <w:marLeft w:val="0"/>
      <w:marRight w:val="0"/>
      <w:marTop w:val="0"/>
      <w:marBottom w:val="0"/>
      <w:divBdr>
        <w:top w:val="none" w:sz="0" w:space="0" w:color="auto"/>
        <w:left w:val="none" w:sz="0" w:space="0" w:color="auto"/>
        <w:bottom w:val="none" w:sz="0" w:space="0" w:color="auto"/>
        <w:right w:val="none" w:sz="0" w:space="0" w:color="auto"/>
      </w:divBdr>
    </w:div>
    <w:div w:id="1630625594">
      <w:bodyDiv w:val="1"/>
      <w:marLeft w:val="0"/>
      <w:marRight w:val="0"/>
      <w:marTop w:val="0"/>
      <w:marBottom w:val="0"/>
      <w:divBdr>
        <w:top w:val="none" w:sz="0" w:space="0" w:color="auto"/>
        <w:left w:val="none" w:sz="0" w:space="0" w:color="auto"/>
        <w:bottom w:val="none" w:sz="0" w:space="0" w:color="auto"/>
        <w:right w:val="none" w:sz="0" w:space="0" w:color="auto"/>
      </w:divBdr>
    </w:div>
    <w:div w:id="1632248791">
      <w:bodyDiv w:val="1"/>
      <w:marLeft w:val="0"/>
      <w:marRight w:val="0"/>
      <w:marTop w:val="0"/>
      <w:marBottom w:val="0"/>
      <w:divBdr>
        <w:top w:val="none" w:sz="0" w:space="0" w:color="auto"/>
        <w:left w:val="none" w:sz="0" w:space="0" w:color="auto"/>
        <w:bottom w:val="none" w:sz="0" w:space="0" w:color="auto"/>
        <w:right w:val="none" w:sz="0" w:space="0" w:color="auto"/>
      </w:divBdr>
    </w:div>
    <w:div w:id="1637879924">
      <w:bodyDiv w:val="1"/>
      <w:marLeft w:val="0"/>
      <w:marRight w:val="0"/>
      <w:marTop w:val="0"/>
      <w:marBottom w:val="0"/>
      <w:divBdr>
        <w:top w:val="none" w:sz="0" w:space="0" w:color="auto"/>
        <w:left w:val="none" w:sz="0" w:space="0" w:color="auto"/>
        <w:bottom w:val="none" w:sz="0" w:space="0" w:color="auto"/>
        <w:right w:val="none" w:sz="0" w:space="0" w:color="auto"/>
      </w:divBdr>
    </w:div>
    <w:div w:id="1656254988">
      <w:bodyDiv w:val="1"/>
      <w:marLeft w:val="0"/>
      <w:marRight w:val="0"/>
      <w:marTop w:val="0"/>
      <w:marBottom w:val="0"/>
      <w:divBdr>
        <w:top w:val="none" w:sz="0" w:space="0" w:color="auto"/>
        <w:left w:val="none" w:sz="0" w:space="0" w:color="auto"/>
        <w:bottom w:val="none" w:sz="0" w:space="0" w:color="auto"/>
        <w:right w:val="none" w:sz="0" w:space="0" w:color="auto"/>
      </w:divBdr>
    </w:div>
    <w:div w:id="1679191644">
      <w:bodyDiv w:val="1"/>
      <w:marLeft w:val="0"/>
      <w:marRight w:val="0"/>
      <w:marTop w:val="0"/>
      <w:marBottom w:val="0"/>
      <w:divBdr>
        <w:top w:val="none" w:sz="0" w:space="0" w:color="auto"/>
        <w:left w:val="none" w:sz="0" w:space="0" w:color="auto"/>
        <w:bottom w:val="none" w:sz="0" w:space="0" w:color="auto"/>
        <w:right w:val="none" w:sz="0" w:space="0" w:color="auto"/>
      </w:divBdr>
    </w:div>
    <w:div w:id="1725135057">
      <w:bodyDiv w:val="1"/>
      <w:marLeft w:val="0"/>
      <w:marRight w:val="0"/>
      <w:marTop w:val="0"/>
      <w:marBottom w:val="0"/>
      <w:divBdr>
        <w:top w:val="none" w:sz="0" w:space="0" w:color="auto"/>
        <w:left w:val="none" w:sz="0" w:space="0" w:color="auto"/>
        <w:bottom w:val="none" w:sz="0" w:space="0" w:color="auto"/>
        <w:right w:val="none" w:sz="0" w:space="0" w:color="auto"/>
      </w:divBdr>
    </w:div>
    <w:div w:id="1745490434">
      <w:bodyDiv w:val="1"/>
      <w:marLeft w:val="0"/>
      <w:marRight w:val="0"/>
      <w:marTop w:val="0"/>
      <w:marBottom w:val="0"/>
      <w:divBdr>
        <w:top w:val="none" w:sz="0" w:space="0" w:color="auto"/>
        <w:left w:val="none" w:sz="0" w:space="0" w:color="auto"/>
        <w:bottom w:val="none" w:sz="0" w:space="0" w:color="auto"/>
        <w:right w:val="none" w:sz="0" w:space="0" w:color="auto"/>
      </w:divBdr>
    </w:div>
    <w:div w:id="1775249845">
      <w:bodyDiv w:val="1"/>
      <w:marLeft w:val="0"/>
      <w:marRight w:val="0"/>
      <w:marTop w:val="0"/>
      <w:marBottom w:val="0"/>
      <w:divBdr>
        <w:top w:val="none" w:sz="0" w:space="0" w:color="auto"/>
        <w:left w:val="none" w:sz="0" w:space="0" w:color="auto"/>
        <w:bottom w:val="none" w:sz="0" w:space="0" w:color="auto"/>
        <w:right w:val="none" w:sz="0" w:space="0" w:color="auto"/>
      </w:divBdr>
    </w:div>
    <w:div w:id="1778796073">
      <w:bodyDiv w:val="1"/>
      <w:marLeft w:val="0"/>
      <w:marRight w:val="0"/>
      <w:marTop w:val="0"/>
      <w:marBottom w:val="0"/>
      <w:divBdr>
        <w:top w:val="none" w:sz="0" w:space="0" w:color="auto"/>
        <w:left w:val="none" w:sz="0" w:space="0" w:color="auto"/>
        <w:bottom w:val="none" w:sz="0" w:space="0" w:color="auto"/>
        <w:right w:val="none" w:sz="0" w:space="0" w:color="auto"/>
      </w:divBdr>
    </w:div>
    <w:div w:id="1807157662">
      <w:bodyDiv w:val="1"/>
      <w:marLeft w:val="0"/>
      <w:marRight w:val="0"/>
      <w:marTop w:val="0"/>
      <w:marBottom w:val="0"/>
      <w:divBdr>
        <w:top w:val="none" w:sz="0" w:space="0" w:color="auto"/>
        <w:left w:val="none" w:sz="0" w:space="0" w:color="auto"/>
        <w:bottom w:val="none" w:sz="0" w:space="0" w:color="auto"/>
        <w:right w:val="none" w:sz="0" w:space="0" w:color="auto"/>
      </w:divBdr>
    </w:div>
    <w:div w:id="1811284508">
      <w:bodyDiv w:val="1"/>
      <w:marLeft w:val="0"/>
      <w:marRight w:val="0"/>
      <w:marTop w:val="0"/>
      <w:marBottom w:val="0"/>
      <w:divBdr>
        <w:top w:val="none" w:sz="0" w:space="0" w:color="auto"/>
        <w:left w:val="none" w:sz="0" w:space="0" w:color="auto"/>
        <w:bottom w:val="none" w:sz="0" w:space="0" w:color="auto"/>
        <w:right w:val="none" w:sz="0" w:space="0" w:color="auto"/>
      </w:divBdr>
    </w:div>
    <w:div w:id="1812281462">
      <w:bodyDiv w:val="1"/>
      <w:marLeft w:val="0"/>
      <w:marRight w:val="0"/>
      <w:marTop w:val="0"/>
      <w:marBottom w:val="0"/>
      <w:divBdr>
        <w:top w:val="none" w:sz="0" w:space="0" w:color="auto"/>
        <w:left w:val="none" w:sz="0" w:space="0" w:color="auto"/>
        <w:bottom w:val="none" w:sz="0" w:space="0" w:color="auto"/>
        <w:right w:val="none" w:sz="0" w:space="0" w:color="auto"/>
      </w:divBdr>
    </w:div>
    <w:div w:id="1814327784">
      <w:bodyDiv w:val="1"/>
      <w:marLeft w:val="0"/>
      <w:marRight w:val="0"/>
      <w:marTop w:val="0"/>
      <w:marBottom w:val="0"/>
      <w:divBdr>
        <w:top w:val="none" w:sz="0" w:space="0" w:color="auto"/>
        <w:left w:val="none" w:sz="0" w:space="0" w:color="auto"/>
        <w:bottom w:val="none" w:sz="0" w:space="0" w:color="auto"/>
        <w:right w:val="none" w:sz="0" w:space="0" w:color="auto"/>
      </w:divBdr>
    </w:div>
    <w:div w:id="1841583447">
      <w:bodyDiv w:val="1"/>
      <w:marLeft w:val="0"/>
      <w:marRight w:val="0"/>
      <w:marTop w:val="0"/>
      <w:marBottom w:val="0"/>
      <w:divBdr>
        <w:top w:val="none" w:sz="0" w:space="0" w:color="auto"/>
        <w:left w:val="none" w:sz="0" w:space="0" w:color="auto"/>
        <w:bottom w:val="none" w:sz="0" w:space="0" w:color="auto"/>
        <w:right w:val="none" w:sz="0" w:space="0" w:color="auto"/>
      </w:divBdr>
    </w:div>
    <w:div w:id="1844205315">
      <w:bodyDiv w:val="1"/>
      <w:marLeft w:val="0"/>
      <w:marRight w:val="0"/>
      <w:marTop w:val="0"/>
      <w:marBottom w:val="0"/>
      <w:divBdr>
        <w:top w:val="none" w:sz="0" w:space="0" w:color="auto"/>
        <w:left w:val="none" w:sz="0" w:space="0" w:color="auto"/>
        <w:bottom w:val="none" w:sz="0" w:space="0" w:color="auto"/>
        <w:right w:val="none" w:sz="0" w:space="0" w:color="auto"/>
      </w:divBdr>
    </w:div>
    <w:div w:id="1860240296">
      <w:bodyDiv w:val="1"/>
      <w:marLeft w:val="0"/>
      <w:marRight w:val="0"/>
      <w:marTop w:val="0"/>
      <w:marBottom w:val="0"/>
      <w:divBdr>
        <w:top w:val="none" w:sz="0" w:space="0" w:color="auto"/>
        <w:left w:val="none" w:sz="0" w:space="0" w:color="auto"/>
        <w:bottom w:val="none" w:sz="0" w:space="0" w:color="auto"/>
        <w:right w:val="none" w:sz="0" w:space="0" w:color="auto"/>
      </w:divBdr>
    </w:div>
    <w:div w:id="1870218228">
      <w:bodyDiv w:val="1"/>
      <w:marLeft w:val="0"/>
      <w:marRight w:val="0"/>
      <w:marTop w:val="0"/>
      <w:marBottom w:val="0"/>
      <w:divBdr>
        <w:top w:val="none" w:sz="0" w:space="0" w:color="auto"/>
        <w:left w:val="none" w:sz="0" w:space="0" w:color="auto"/>
        <w:bottom w:val="none" w:sz="0" w:space="0" w:color="auto"/>
        <w:right w:val="none" w:sz="0" w:space="0" w:color="auto"/>
      </w:divBdr>
    </w:div>
    <w:div w:id="1896041934">
      <w:bodyDiv w:val="1"/>
      <w:marLeft w:val="0"/>
      <w:marRight w:val="0"/>
      <w:marTop w:val="0"/>
      <w:marBottom w:val="0"/>
      <w:divBdr>
        <w:top w:val="none" w:sz="0" w:space="0" w:color="auto"/>
        <w:left w:val="none" w:sz="0" w:space="0" w:color="auto"/>
        <w:bottom w:val="none" w:sz="0" w:space="0" w:color="auto"/>
        <w:right w:val="none" w:sz="0" w:space="0" w:color="auto"/>
      </w:divBdr>
    </w:div>
    <w:div w:id="1927375475">
      <w:bodyDiv w:val="1"/>
      <w:marLeft w:val="0"/>
      <w:marRight w:val="0"/>
      <w:marTop w:val="0"/>
      <w:marBottom w:val="0"/>
      <w:divBdr>
        <w:top w:val="none" w:sz="0" w:space="0" w:color="auto"/>
        <w:left w:val="none" w:sz="0" w:space="0" w:color="auto"/>
        <w:bottom w:val="none" w:sz="0" w:space="0" w:color="auto"/>
        <w:right w:val="none" w:sz="0" w:space="0" w:color="auto"/>
      </w:divBdr>
    </w:div>
    <w:div w:id="1945570269">
      <w:bodyDiv w:val="1"/>
      <w:marLeft w:val="0"/>
      <w:marRight w:val="0"/>
      <w:marTop w:val="0"/>
      <w:marBottom w:val="0"/>
      <w:divBdr>
        <w:top w:val="none" w:sz="0" w:space="0" w:color="auto"/>
        <w:left w:val="none" w:sz="0" w:space="0" w:color="auto"/>
        <w:bottom w:val="none" w:sz="0" w:space="0" w:color="auto"/>
        <w:right w:val="none" w:sz="0" w:space="0" w:color="auto"/>
      </w:divBdr>
    </w:div>
    <w:div w:id="1957833717">
      <w:bodyDiv w:val="1"/>
      <w:marLeft w:val="0"/>
      <w:marRight w:val="0"/>
      <w:marTop w:val="0"/>
      <w:marBottom w:val="0"/>
      <w:divBdr>
        <w:top w:val="none" w:sz="0" w:space="0" w:color="auto"/>
        <w:left w:val="none" w:sz="0" w:space="0" w:color="auto"/>
        <w:bottom w:val="none" w:sz="0" w:space="0" w:color="auto"/>
        <w:right w:val="none" w:sz="0" w:space="0" w:color="auto"/>
      </w:divBdr>
    </w:div>
    <w:div w:id="1968849355">
      <w:bodyDiv w:val="1"/>
      <w:marLeft w:val="0"/>
      <w:marRight w:val="0"/>
      <w:marTop w:val="0"/>
      <w:marBottom w:val="0"/>
      <w:divBdr>
        <w:top w:val="none" w:sz="0" w:space="0" w:color="auto"/>
        <w:left w:val="none" w:sz="0" w:space="0" w:color="auto"/>
        <w:bottom w:val="none" w:sz="0" w:space="0" w:color="auto"/>
        <w:right w:val="none" w:sz="0" w:space="0" w:color="auto"/>
      </w:divBdr>
    </w:div>
    <w:div w:id="1980332939">
      <w:bodyDiv w:val="1"/>
      <w:marLeft w:val="0"/>
      <w:marRight w:val="0"/>
      <w:marTop w:val="0"/>
      <w:marBottom w:val="0"/>
      <w:divBdr>
        <w:top w:val="none" w:sz="0" w:space="0" w:color="auto"/>
        <w:left w:val="none" w:sz="0" w:space="0" w:color="auto"/>
        <w:bottom w:val="none" w:sz="0" w:space="0" w:color="auto"/>
        <w:right w:val="none" w:sz="0" w:space="0" w:color="auto"/>
      </w:divBdr>
    </w:div>
    <w:div w:id="1985157387">
      <w:bodyDiv w:val="1"/>
      <w:marLeft w:val="0"/>
      <w:marRight w:val="0"/>
      <w:marTop w:val="0"/>
      <w:marBottom w:val="0"/>
      <w:divBdr>
        <w:top w:val="none" w:sz="0" w:space="0" w:color="auto"/>
        <w:left w:val="none" w:sz="0" w:space="0" w:color="auto"/>
        <w:bottom w:val="none" w:sz="0" w:space="0" w:color="auto"/>
        <w:right w:val="none" w:sz="0" w:space="0" w:color="auto"/>
      </w:divBdr>
    </w:div>
    <w:div w:id="2013802474">
      <w:bodyDiv w:val="1"/>
      <w:marLeft w:val="0"/>
      <w:marRight w:val="0"/>
      <w:marTop w:val="0"/>
      <w:marBottom w:val="0"/>
      <w:divBdr>
        <w:top w:val="none" w:sz="0" w:space="0" w:color="auto"/>
        <w:left w:val="none" w:sz="0" w:space="0" w:color="auto"/>
        <w:bottom w:val="none" w:sz="0" w:space="0" w:color="auto"/>
        <w:right w:val="none" w:sz="0" w:space="0" w:color="auto"/>
      </w:divBdr>
    </w:div>
    <w:div w:id="2078817712">
      <w:bodyDiv w:val="1"/>
      <w:marLeft w:val="0"/>
      <w:marRight w:val="0"/>
      <w:marTop w:val="0"/>
      <w:marBottom w:val="0"/>
      <w:divBdr>
        <w:top w:val="none" w:sz="0" w:space="0" w:color="auto"/>
        <w:left w:val="none" w:sz="0" w:space="0" w:color="auto"/>
        <w:bottom w:val="none" w:sz="0" w:space="0" w:color="auto"/>
        <w:right w:val="none" w:sz="0" w:space="0" w:color="auto"/>
      </w:divBdr>
    </w:div>
    <w:div w:id="2093310126">
      <w:bodyDiv w:val="1"/>
      <w:marLeft w:val="0"/>
      <w:marRight w:val="0"/>
      <w:marTop w:val="0"/>
      <w:marBottom w:val="0"/>
      <w:divBdr>
        <w:top w:val="none" w:sz="0" w:space="0" w:color="auto"/>
        <w:left w:val="none" w:sz="0" w:space="0" w:color="auto"/>
        <w:bottom w:val="none" w:sz="0" w:space="0" w:color="auto"/>
        <w:right w:val="none" w:sz="0" w:space="0" w:color="auto"/>
      </w:divBdr>
    </w:div>
    <w:div w:id="2094357807">
      <w:bodyDiv w:val="1"/>
      <w:marLeft w:val="0"/>
      <w:marRight w:val="0"/>
      <w:marTop w:val="0"/>
      <w:marBottom w:val="0"/>
      <w:divBdr>
        <w:top w:val="none" w:sz="0" w:space="0" w:color="auto"/>
        <w:left w:val="none" w:sz="0" w:space="0" w:color="auto"/>
        <w:bottom w:val="none" w:sz="0" w:space="0" w:color="auto"/>
        <w:right w:val="none" w:sz="0" w:space="0" w:color="auto"/>
      </w:divBdr>
    </w:div>
    <w:div w:id="2127043545">
      <w:bodyDiv w:val="1"/>
      <w:marLeft w:val="0"/>
      <w:marRight w:val="0"/>
      <w:marTop w:val="0"/>
      <w:marBottom w:val="0"/>
      <w:divBdr>
        <w:top w:val="none" w:sz="0" w:space="0" w:color="auto"/>
        <w:left w:val="none" w:sz="0" w:space="0" w:color="auto"/>
        <w:bottom w:val="none" w:sz="0" w:space="0" w:color="auto"/>
        <w:right w:val="none" w:sz="0" w:space="0" w:color="auto"/>
      </w:divBdr>
    </w:div>
    <w:div w:id="2128036508">
      <w:bodyDiv w:val="1"/>
      <w:marLeft w:val="0"/>
      <w:marRight w:val="0"/>
      <w:marTop w:val="0"/>
      <w:marBottom w:val="0"/>
      <w:divBdr>
        <w:top w:val="none" w:sz="0" w:space="0" w:color="auto"/>
        <w:left w:val="none" w:sz="0" w:space="0" w:color="auto"/>
        <w:bottom w:val="none" w:sz="0" w:space="0" w:color="auto"/>
        <w:right w:val="none" w:sz="0" w:space="0" w:color="auto"/>
      </w:divBdr>
    </w:div>
    <w:div w:id="21352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emf"/><Relationship Id="rId26" Type="http://schemas.openxmlformats.org/officeDocument/2006/relationships/hyperlink" Target="file:///G:\1%20Public\Capital%20programme\2017-18%20to%202019-20\February%20Cabinet\Final%20February%20Cabinet\Appendix%201%20-%2016.17%20Capital%20Programme%20%20restated%20V4%2018.01.17.xlsx" TargetMode="External"/><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hyperlink" Target="file:///G:\1%20Public\Capital%20programme\2017-18%20to%202019-20\February%20Cabinet\Final%20February%20Cabinet\Final%20version%20Capital%20Programme%20Feb%202017%20Cabinet.doc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C:\Users\fogunnai\AppData\Local\Microsoft\BUDGET\Budget%202017-18\February%20Cabinet\Final%20report\Final%20Report%20Appendices%20for%20Daksha\V4%20Final%20Budget%20Report%20070217.doc"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mailto:sharon.daniels@harrow.gov.uk"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1.emf"/><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0226E4B75CFA47B488D2CEFE4DCFDD641E00322D1B544C11E743A5C7D1E5E4FA227D" ma:contentTypeVersion="12" ma:contentTypeDescription="" ma:contentTypeScope="" ma:versionID="4d3bf415faa6f7f70738e8eca47b74d0">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8613bbf3e74375054153f4d0244c0164"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Financial_x0020_Date"/>
                <xsd:element ref="ns3:Audience"/>
                <xsd:element ref="ns3:Finance_x0020_Category"/>
                <xsd:element ref="ns3:Repor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 (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Financial_x0020_Date" ma:index="14"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Audience" ma:index="17" ma:displayName="Audience" ma:format="Dropdown" ma:internalName="Audience">
      <xsd:simpleType>
        <xsd:restriction base="dms:Choice">
          <xsd:enumeration value="Cabinet"/>
          <xsd:enumeration value="Council"/>
          <xsd:enumeration value="CSB"/>
        </xsd:restriction>
      </xsd:simpleType>
    </xsd:element>
    <xsd:element name="Finance_x0020_Category" ma:index="18" ma:displayName="Finance Category" ma:format="Dropdown" ma:internalName="Finance_x0020_Category">
      <xsd:simpleType>
        <xsd:restriction base="dms:Choice">
          <xsd:enumeration value="Capital"/>
          <xsd:enumeration value="Revenue"/>
        </xsd:restriction>
      </xsd:simpleType>
    </xsd:element>
    <xsd:element name="Report_x0020_Type" ma:index="19" ma:displayName="Report Type" ma:format="Dropdown" ma:internalName="Report_x0020_Type">
      <xsd:simpleType>
        <xsd:restriction base="dms:Choice">
          <xsd:enumeration value="Budget Build"/>
          <xsd:enumeration value="Budget Monitoring"/>
          <xsd:enumeration value="Fees and Char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Finance_x0020_Category xmlns="21034249-a417-400c-94ae-292fd978b91a">Revenue</Finance_x0020_Category>
    <Report_x0020_Type xmlns="21034249-a417-400c-94ae-292fd978b91a">Budget Monitoring</Report_x0020_Type>
    <Financial_x0020_Date xmlns="e48e9339-ef40-4192-ab59-a15ba5582753">2016-10-31T00:00:00+00:00</Financial_x0020_Date>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Audience xmlns="21034249-a417-400c-94ae-292fd978b91a">Cabinet</Audience>
  </documentManagement>
</p:properties>
</file>

<file path=customXml/item4.xml><?xml version="1.0" encoding="utf-8"?>
<?mso-contentType ?>
<SharedContentType xmlns="Microsoft.SharePoint.Taxonomy.ContentTypeSync" SourceId="b11bda97-64e7-4000-91fd-dcaad77bf85d" ContentTypeId="0x0101000226E4B75CFA47B488D2CEFE4DCFDD641E"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925F-5004-4C23-A8D1-448F06E40D5B}">
  <ds:schemaRefs>
    <ds:schemaRef ds:uri="http://schemas.microsoft.com/sharepoint/v3/contenttype/forms"/>
  </ds:schemaRefs>
</ds:datastoreItem>
</file>

<file path=customXml/itemProps2.xml><?xml version="1.0" encoding="utf-8"?>
<ds:datastoreItem xmlns:ds="http://schemas.openxmlformats.org/officeDocument/2006/customXml" ds:itemID="{E7E2CF59-7F7F-4B44-A644-6AA3B5711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07451-7AD7-43F1-A856-236694DDB346}">
  <ds:schemaRefs>
    <ds:schemaRef ds:uri="http://purl.org/dc/terms/"/>
    <ds:schemaRef ds:uri="http://www.w3.org/XML/1998/namespace"/>
    <ds:schemaRef ds:uri="e48e9339-ef40-4192-ab59-a15ba5582753"/>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1034249-a417-400c-94ae-292fd978b91a"/>
    <ds:schemaRef ds:uri="http://schemas.microsoft.com/office/2006/metadata/properties"/>
  </ds:schemaRefs>
</ds:datastoreItem>
</file>

<file path=customXml/itemProps4.xml><?xml version="1.0" encoding="utf-8"?>
<ds:datastoreItem xmlns:ds="http://schemas.openxmlformats.org/officeDocument/2006/customXml" ds:itemID="{3245E281-FBE6-46CF-A661-918C14305235}">
  <ds:schemaRefs>
    <ds:schemaRef ds:uri="Microsoft.SharePoint.Taxonomy.ContentTypeSync"/>
  </ds:schemaRefs>
</ds:datastoreItem>
</file>

<file path=customXml/itemProps5.xml><?xml version="1.0" encoding="utf-8"?>
<ds:datastoreItem xmlns:ds="http://schemas.openxmlformats.org/officeDocument/2006/customXml" ds:itemID="{85BE9706-6DA6-429D-9FD4-82E7CB81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6624</Words>
  <Characters>36631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43169</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Manize Talukdar</cp:lastModifiedBy>
  <cp:revision>6</cp:revision>
  <cp:lastPrinted>2017-11-08T15:39:00Z</cp:lastPrinted>
  <dcterms:created xsi:type="dcterms:W3CDTF">2017-11-27T12:26:00Z</dcterms:created>
  <dcterms:modified xsi:type="dcterms:W3CDTF">2017-12-01T10:54:00Z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0x0101000226E4B75CFA47B488D2CEFE4DCFDD641E00322D1B544C11E743A5C7D1E5E4FA227D</vt:lpwstr>
  </property>
  <property fmtid="{D5CDD505-2E9C-101B-9397-08002B2CF9AE}" pid="3" name="TaxKeyword">
    <vt:lpwstr/>
  </property>
</Properties>
</file>